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391d6k.htm"/>
      <w:bookmarkStart w:id="1" w:name="ksd153391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001-41923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EUPRAXIA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2198 Yukon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Vancouver, British Columbia, Canada V5Y 3P1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(250) 590-3968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Exhibits 99.1 and 99.2 of this Form 6-K are incorporated by reference into the registrant’s Registration Statement on Form F-10 (File No. 333-276586) and the registrant’s Registration Statement on Form S-8 (File No. 333-278534).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DOCUMENTS INCLUDED AS PART OF THIS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7"/>
        <w:gridCol w:w="427"/>
        <w:gridCol w:w="8981"/>
      </w:tblGrid>
      <w:tr>
        <w:trPr/>
        <w:tc>
          <w:tcPr>
            <w:tcW w:w="797"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797" w:type="dxa"/>
            <w:tcBorders/>
            <w:vAlign w:val="bottom"/>
          </w:tcPr>
          <w:p>
            <w:pPr>
              <w:pStyle w:val="TableContents"/>
              <w:bidi w:val="0"/>
              <w:spacing w:before="0" w:after="283"/>
              <w:jc w:val="center"/>
              <w:rPr>
                <w:b/>
              </w:rPr>
            </w:pPr>
            <w:r>
              <w:rPr>
                <w:b/>
              </w:rPr>
              <w:t>Exhibit</w:t>
            </w:r>
          </w:p>
        </w:tc>
        <w:tc>
          <w:tcPr>
            <w:tcW w:w="427"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 </w:t>
            </w:r>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99.1</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53391dex991.htm">
              <w:r>
                <w:rPr>
                  <w:rStyle w:val="InternetLink"/>
                </w:rPr>
                <w:t xml:space="preserve">Condensed Consolidated Interim Financial Statements for the three and six months ended June 30, 2026.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99.2</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53391dex992.htm">
              <w:r>
                <w:rPr>
                  <w:rStyle w:val="InternetLink"/>
                </w:rPr>
                <w:t xml:space="preserve">Management’s Discussion and Analysis of Financial Condition and Results of Operations for the three and six months ended June 30, 2026.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99.3</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53391dex993.htm">
              <w:r>
                <w:rPr>
                  <w:rStyle w:val="InternetLink"/>
                </w:rPr>
                <w:t xml:space="preserve">Press Release, dated August 11, 2026.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99.4</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53391dex994.htm">
              <w:r>
                <w:rPr>
                  <w:rStyle w:val="InternetLink"/>
                </w:rPr>
                <w:t xml:space="preserve">Form 52-109F2 Certification of Interim Filings by CEO.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99.5</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53391dex995.htm">
              <w:r>
                <w:rPr>
                  <w:rStyle w:val="InternetLink"/>
                </w:rPr>
                <w:t xml:space="preserve">Form 52-109F2 Certification of Interim Filings by CFO.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1"/>
        <w:gridCol w:w="109"/>
        <w:gridCol w:w="391"/>
        <w:gridCol w:w="109"/>
        <w:gridCol w:w="371"/>
        <w:gridCol w:w="109"/>
        <w:gridCol w:w="4645"/>
      </w:tblGrid>
      <w:tr>
        <w:trPr/>
        <w:tc>
          <w:tcPr>
            <w:tcW w:w="447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45" w:type="dxa"/>
            <w:tcBorders/>
            <w:vAlign w:val="center"/>
          </w:tcPr>
          <w:p>
            <w:pPr>
              <w:pStyle w:val="TableContents"/>
              <w:bidi w:val="0"/>
              <w:spacing w:before="0" w:after="283"/>
              <w:jc w:val="left"/>
              <w:rPr>
                <w:sz w:val="4"/>
                <w:szCs w:val="4"/>
              </w:rPr>
            </w:pPr>
            <w:r>
              <w:rPr>
                <w:sz w:val="4"/>
                <w:szCs w:val="4"/>
              </w:rPr>
            </w:r>
          </w:p>
        </w:tc>
      </w:tr>
      <w:tr>
        <w:trPr/>
        <w:tc>
          <w:tcPr>
            <w:tcW w:w="44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25" w:type="dxa"/>
            <w:gridSpan w:val="3"/>
            <w:tcBorders/>
          </w:tcPr>
          <w:p>
            <w:pPr>
              <w:pStyle w:val="TableContents"/>
              <w:bidi w:val="0"/>
              <w:spacing w:before="0" w:after="283"/>
              <w:jc w:val="left"/>
              <w:rPr>
                <w:b/>
              </w:rPr>
            </w:pPr>
            <w:r>
              <w:rPr>
                <w:b/>
              </w:rPr>
              <w:t>Eupraxia Pharmaceuticals Inc.</w:t>
            </w:r>
          </w:p>
        </w:tc>
      </w:tr>
      <w:tr>
        <w:trPr>
          <w:trHeight w:val="240" w:hRule="atLeast"/>
        </w:trPr>
        <w:tc>
          <w:tcPr>
            <w:tcW w:w="447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480"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4471" w:type="dxa"/>
            <w:tcBorders/>
          </w:tcPr>
          <w:p>
            <w:pPr>
              <w:pStyle w:val="TableContents"/>
              <w:bidi w:val="0"/>
              <w:spacing w:before="0" w:after="283"/>
              <w:jc w:val="left"/>
              <w:rPr/>
            </w:pPr>
            <w:r>
              <w:rPr/>
              <w:t>Date: August 11, 2026</w:t>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Rothwell</w:t>
            </w:r>
          </w:p>
        </w:tc>
      </w:tr>
      <w:tr>
        <w:trPr/>
        <w:tc>
          <w:tcPr>
            <w:tcW w:w="44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Name: Alex Rothwell</w:t>
            </w:r>
          </w:p>
        </w:tc>
      </w:tr>
      <w:tr>
        <w:trPr/>
        <w:tc>
          <w:tcPr>
            <w:tcW w:w="44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2" w:name="d153391dex991.htm"/>
      <w:bookmarkStart w:id="3" w:name="ksd153391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EUPRAXIA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INTERIM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THREE AND SIX MONTHS ENDED JUNE 30, 2026 </w:t>
      </w:r>
    </w:p>
    <w:p>
      <w:pPr>
        <w:pStyle w:val="TextBody"/>
        <w:bidi w:val="0"/>
        <w:spacing w:before="240" w:after="0"/>
        <w:jc w:val="center"/>
        <w:rPr>
          <w:rFonts w:ascii="Times New Roman" w:hAnsi="Times New Roman"/>
          <w:sz w:val="20"/>
        </w:rPr>
      </w:pPr>
      <w:r>
        <w:rPr>
          <w:rFonts w:ascii="Times New Roman" w:hAnsi="Times New Roman"/>
          <w:sz w:val="20"/>
        </w:rPr>
        <w:t xml:space="preserve">(Unaudited and Expressed in U.S. Dollars)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EUPRAXIA PHARMACEUTICALS INC</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INDEX TO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1"/>
        <w:gridCol w:w="162"/>
        <w:gridCol w:w="60"/>
        <w:gridCol w:w="459"/>
        <w:gridCol w:w="63"/>
      </w:tblGrid>
      <w:tr>
        <w:trPr/>
        <w:tc>
          <w:tcPr>
            <w:tcW w:w="946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INTERIM BALANCE SHEETS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INTERIM STATEMENTS OF OPERATIONS AND COMPREHENSIVE LOSS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INTERIM STATEMENTS OF SHAREHOLDERS’ EQUITY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CONDENSED CONSOLIDATED INTERIM STATEMENTS OF CASH FLOWS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NOTES TO THE CONDENSED CONSOLIDATED INTERIM FINANCIAL STATEMENTS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9-31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CONDENSED CONSOLIDATED INTERIM BALANCE SHEETS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4"/>
        <w:gridCol w:w="218"/>
        <w:gridCol w:w="140"/>
        <w:gridCol w:w="1299"/>
        <w:gridCol w:w="155"/>
        <w:gridCol w:w="181"/>
        <w:gridCol w:w="140"/>
        <w:gridCol w:w="1299"/>
        <w:gridCol w:w="159"/>
      </w:tblGrid>
      <w:tr>
        <w:trPr/>
        <w:tc>
          <w:tcPr>
            <w:tcW w:w="661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1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52,426,167</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80,563,482</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 (Note 4)</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81,234,688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receivable (Note 5)</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688,219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674,226</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deposits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2,455,665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3,860,842</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136,804,739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85,098,550</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53,702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64,332</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(Note 6)</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1,212,189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834,429</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 net (Note 7)</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1,836,906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152,697</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139,907,536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86,150,008</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 (DEFICIT)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 (Note 8)</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8,390,871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5,549,553</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 current portion (Note 9)</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159,877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78,452</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8,550,748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5,628,005</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 (Note 9)</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1,683,026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75,910</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10,233,774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5,703,915</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without par value; unlimited shares authorized; issued and outstanding: 8,295,638 (December 31, 2025: 8,355,638 (Notes 11(c))</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29,523,399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29,738,321</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without par value; unlimited shares authorized; issued and outstanding: 65,474,223 (December 31, 2025 – 51,939,206 (Note 11(b))</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264,177,865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195,406,895</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 (Notes 11(b), 11(d)(iii) and 11(e))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41,308,501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28,520,331</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(196,720,360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(169,579,974</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(7,012,407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(2,044,137</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attributable to the owners of the Company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131,276,998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82,041,436</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Non-controlling interest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(1,603,236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(1,595,343</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129,673,762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80,446,093</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139,907,536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86,150,008</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Nature of business and going concern (Note 1) </w:t>
      </w:r>
    </w:p>
    <w:p>
      <w:pPr>
        <w:pStyle w:val="TextBody"/>
        <w:bidi w:val="0"/>
        <w:spacing w:before="0" w:after="0"/>
        <w:jc w:val="left"/>
        <w:rPr>
          <w:rFonts w:ascii="Times New Roman" w:hAnsi="Times New Roman"/>
          <w:sz w:val="20"/>
        </w:rPr>
      </w:pPr>
      <w:r>
        <w:rPr>
          <w:rFonts w:ascii="Times New Roman" w:hAnsi="Times New Roman"/>
          <w:sz w:val="20"/>
        </w:rPr>
        <w:t xml:space="preserve">Commitments (Note 14) </w:t>
      </w:r>
    </w:p>
    <w:p>
      <w:pPr>
        <w:pStyle w:val="TextBody"/>
        <w:bidi w:val="0"/>
        <w:spacing w:before="0" w:after="0"/>
        <w:jc w:val="left"/>
        <w:rPr>
          <w:rFonts w:ascii="Times New Roman" w:hAnsi="Times New Roman"/>
          <w:sz w:val="20"/>
        </w:rPr>
      </w:pPr>
      <w:r>
        <w:rPr>
          <w:rFonts w:ascii="Times New Roman" w:hAnsi="Times New Roman"/>
          <w:sz w:val="20"/>
        </w:rPr>
        <w:t xml:space="preserve">Subsequent event (Note 18) </w:t>
      </w:r>
    </w:p>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CONDENSED CONSOLIDATED INTERIM STATEMENTS OF OPERATIONS AND COMPREHENSIVE LOSS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9"/>
        <w:gridCol w:w="162"/>
        <w:gridCol w:w="165"/>
        <w:gridCol w:w="1388"/>
        <w:gridCol w:w="155"/>
        <w:gridCol w:w="111"/>
        <w:gridCol w:w="175"/>
        <w:gridCol w:w="1380"/>
        <w:gridCol w:w="155"/>
        <w:gridCol w:w="111"/>
        <w:gridCol w:w="165"/>
        <w:gridCol w:w="1387"/>
        <w:gridCol w:w="155"/>
        <w:gridCol w:w="111"/>
        <w:gridCol w:w="165"/>
        <w:gridCol w:w="1388"/>
        <w:gridCol w:w="163"/>
      </w:tblGrid>
      <w:tr>
        <w:trPr/>
        <w:tc>
          <w:tcPr>
            <w:tcW w:w="286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br/>
              <w:t>ended June 30,</w:t>
            </w:r>
            <w:r>
              <w:rPr/>
              <w:br/>
            </w:r>
            <w:r>
              <w:rPr>
                <w:b/>
              </w:rP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2025</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6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(Note 12)</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12,805,005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80" w:type="dxa"/>
            <w:tcBorders/>
            <w:vAlign w:val="bottom"/>
          </w:tcPr>
          <w:p>
            <w:pPr>
              <w:pStyle w:val="TableContents"/>
              <w:bidi w:val="0"/>
              <w:spacing w:before="0" w:after="283"/>
              <w:jc w:val="right"/>
              <w:rPr/>
            </w:pPr>
            <w:r>
              <w:rPr/>
              <w:t>5,196,615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23,978,961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9,046,441</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(Note 13)</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5,298,168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3,067,484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10,081,257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6,341,878</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expenses</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18,103,173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8,264,099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34,060,218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15,388,319</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6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1,391,928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255,958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2,466,000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565,410</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disposal of equipment (Note 6)</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(2,704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(2,704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(1,075</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2,250,897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(733,961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4,492,929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(682,599</w:t>
            </w:r>
          </w:p>
        </w:tc>
        <w:tc>
          <w:tcPr>
            <w:tcW w:w="163" w:type="dxa"/>
            <w:tcBorders/>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income/(expense)</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3,640,121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(478,003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6,956,225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(118,264</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tax expense</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(14,463,052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(8,742,102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(27,103,993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(15,506,583</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recovery/(expense)</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(30,381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(5,581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(44,286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(8,375</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for the period</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(14,493,433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80" w:type="dxa"/>
            <w:tcBorders/>
            <w:vAlign w:val="bottom"/>
          </w:tcPr>
          <w:p>
            <w:pPr>
              <w:pStyle w:val="TableContents"/>
              <w:bidi w:val="0"/>
              <w:spacing w:before="0" w:after="283"/>
              <w:jc w:val="right"/>
              <w:rPr/>
            </w:pPr>
            <w:r>
              <w:rPr/>
              <w:t>(8,747,683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(27,148,279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(15,514,958</w:t>
            </w:r>
          </w:p>
        </w:tc>
        <w:tc>
          <w:tcPr>
            <w:tcW w:w="163" w:type="dxa"/>
            <w:tcBorders/>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attributable to:</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69" w:type="dxa"/>
            <w:tcBorders/>
          </w:tcPr>
          <w:p>
            <w:pPr>
              <w:pStyle w:val="TableContents"/>
              <w:bidi w:val="0"/>
              <w:spacing w:before="0" w:after="0"/>
              <w:jc w:val="left"/>
              <w:rPr>
                <w:rFonts w:ascii="Times New Roman" w:hAnsi="Times New Roman"/>
                <w:sz w:val="20"/>
              </w:rPr>
            </w:pPr>
            <w:r>
              <w:rPr>
                <w:rFonts w:ascii="Times New Roman" w:hAnsi="Times New Roman"/>
                <w:sz w:val="20"/>
              </w:rPr>
              <w:t>Owners of the Company</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(14,486,955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80" w:type="dxa"/>
            <w:tcBorders/>
            <w:vAlign w:val="bottom"/>
          </w:tcPr>
          <w:p>
            <w:pPr>
              <w:pStyle w:val="TableContents"/>
              <w:bidi w:val="0"/>
              <w:spacing w:before="0" w:after="283"/>
              <w:jc w:val="right"/>
              <w:rPr/>
            </w:pPr>
            <w:r>
              <w:rPr/>
              <w:t>(8,740,916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(27,140,386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(15,503,524</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(6,478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(6,767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(7,893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(11,434</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(14,493,433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(8,747,683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(27,148,279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(15,514,958</w:t>
            </w:r>
          </w:p>
        </w:tc>
        <w:tc>
          <w:tcPr>
            <w:tcW w:w="163" w:type="dxa"/>
            <w:tcBorders/>
            <w:vAlign w:val="bottom"/>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(2,528,846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0" w:type="dxa"/>
            <w:tcBorders/>
            <w:shd w:fill="CCEEFF" w:val="clear"/>
            <w:vAlign w:val="bottom"/>
          </w:tcPr>
          <w:p>
            <w:pPr>
              <w:pStyle w:val="TableContents"/>
              <w:bidi w:val="0"/>
              <w:spacing w:before="0" w:after="283"/>
              <w:jc w:val="right"/>
              <w:rPr/>
            </w:pPr>
            <w:r>
              <w:rPr/>
              <w:t>1,335,022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(4,968,270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1,373,186</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loss for the period</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(17,022,279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80" w:type="dxa"/>
            <w:tcBorders/>
            <w:vAlign w:val="bottom"/>
          </w:tcPr>
          <w:p>
            <w:pPr>
              <w:pStyle w:val="TableContents"/>
              <w:bidi w:val="0"/>
              <w:spacing w:before="0" w:after="283"/>
              <w:jc w:val="right"/>
              <w:rPr/>
            </w:pPr>
            <w:r>
              <w:rPr/>
              <w:t>(7,412,661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7" w:type="dxa"/>
            <w:tcBorders/>
            <w:vAlign w:val="bottom"/>
          </w:tcPr>
          <w:p>
            <w:pPr>
              <w:pStyle w:val="TableContents"/>
              <w:bidi w:val="0"/>
              <w:spacing w:before="0" w:after="283"/>
              <w:jc w:val="right"/>
              <w:rPr/>
            </w:pPr>
            <w:r>
              <w:rPr/>
              <w:t>(32,116,549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(14,141,772</w:t>
            </w:r>
          </w:p>
        </w:tc>
        <w:tc>
          <w:tcPr>
            <w:tcW w:w="163" w:type="dxa"/>
            <w:tcBorders/>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per share – basic and diluted (Owners of the Company (Note 11(g))</w:t>
            </w:r>
          </w:p>
        </w:tc>
        <w:tc>
          <w:tcPr>
            <w:tcW w:w="16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80"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(0.46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(0.47</w:t>
            </w:r>
          </w:p>
        </w:tc>
        <w:tc>
          <w:tcPr>
            <w:tcW w:w="163" w:type="dxa"/>
            <w:tcBorders/>
            <w:shd w:fill="CCEEFF" w:val="clear"/>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69"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 basic and diluted (Note 11(g))</w:t>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66,221,815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80" w:type="dxa"/>
            <w:tcBorders/>
            <w:vAlign w:val="bottom"/>
          </w:tcPr>
          <w:p>
            <w:pPr>
              <w:pStyle w:val="TableContents"/>
              <w:bidi w:val="0"/>
              <w:spacing w:before="0" w:after="283"/>
              <w:jc w:val="right"/>
              <w:rPr/>
            </w:pPr>
            <w:r>
              <w:rPr/>
              <w:t>35,912,373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61,482,274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35,799,939</w:t>
            </w:r>
          </w:p>
        </w:tc>
        <w:tc>
          <w:tcPr>
            <w:tcW w:w="163" w:type="dxa"/>
            <w:tcBorders/>
            <w:vAlign w:val="bottom"/>
          </w:tcPr>
          <w:p>
            <w:pPr>
              <w:pStyle w:val="TableContents"/>
              <w:bidi w:val="0"/>
              <w:spacing w:before="0" w:after="283"/>
              <w:jc w:val="left"/>
              <w:rPr/>
            </w:pPr>
            <w:r>
              <w:rPr/>
              <w:t> </w:t>
            </w:r>
          </w:p>
        </w:tc>
      </w:tr>
      <w:tr>
        <w:trPr/>
        <w:tc>
          <w:tcPr>
            <w:tcW w:w="286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CONDENSED CONSOLIDATED INTERIM STATEMENTS OF SHAREHOLDERS’ EQUITY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290" w:type="dxa"/>
        <w:jc w:val="center"/>
        <w:tblInd w:w="0" w:type="dxa"/>
        <w:tblLayout w:type="fixed"/>
        <w:tblCellMar>
          <w:top w:w="0" w:type="dxa"/>
          <w:left w:w="0" w:type="dxa"/>
          <w:bottom w:w="0" w:type="dxa"/>
          <w:right w:w="0" w:type="dxa"/>
        </w:tblCellMar>
      </w:tblPr>
      <w:tblGrid>
        <w:gridCol w:w="890"/>
        <w:gridCol w:w="60"/>
        <w:gridCol w:w="60"/>
        <w:gridCol w:w="980"/>
        <w:gridCol w:w="60"/>
        <w:gridCol w:w="60"/>
        <w:gridCol w:w="140"/>
        <w:gridCol w:w="1100"/>
        <w:gridCol w:w="60"/>
        <w:gridCol w:w="60"/>
        <w:gridCol w:w="60"/>
        <w:gridCol w:w="1100"/>
        <w:gridCol w:w="60"/>
        <w:gridCol w:w="60"/>
        <w:gridCol w:w="140"/>
        <w:gridCol w:w="1220"/>
        <w:gridCol w:w="60"/>
        <w:gridCol w:w="60"/>
        <w:gridCol w:w="140"/>
        <w:gridCol w:w="1100"/>
        <w:gridCol w:w="155"/>
        <w:gridCol w:w="60"/>
        <w:gridCol w:w="140"/>
        <w:gridCol w:w="1295"/>
        <w:gridCol w:w="155"/>
        <w:gridCol w:w="60"/>
        <w:gridCol w:w="188"/>
        <w:gridCol w:w="1422"/>
        <w:gridCol w:w="155"/>
        <w:gridCol w:w="60"/>
        <w:gridCol w:w="199"/>
        <w:gridCol w:w="1501"/>
        <w:gridCol w:w="155"/>
        <w:gridCol w:w="60"/>
        <w:gridCol w:w="232"/>
        <w:gridCol w:w="1828"/>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Total-Shareholders’</w:t>
              <w:br/>
              <w:t>Equity</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8,905,638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31,705,219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35,641,603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116,360,066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20,503,904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(131,003,831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(4,160,555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(1,565,834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31,838,969</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Share-based payments (Note 11(d)(iii))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1,493,407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1,493,407</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warrants (Notes 11(b)(iv) and 11(e))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458,047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(41,641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416,406</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options (Notes 11(b)(v) and 11(d)(iii))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13,517</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(6,762,608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(4,667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(6,767,275</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38,164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38,164</w:t>
            </w:r>
          </w:p>
        </w:tc>
        <w:tc>
          <w:tcPr>
            <w:tcW w:w="155"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March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8,905,638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31,705,219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35,849,353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116,840,288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21,947,012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(137,766,439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(4,122,391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(1,570,501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27,033,188</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Share-based payments (Note 11(d))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1,117,248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1,117,248</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warrants (Notes 11(b)(iv) and 11(e))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239,200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217,455</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options (Notes 11(b)(v) and 11(d)(iii))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22,323</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(8,740,916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(6,767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(8,747,683</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1,335,022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1,335,022</w:t>
            </w:r>
          </w:p>
        </w:tc>
        <w:tc>
          <w:tcPr>
            <w:tcW w:w="155"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June 30,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8,905,638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31,705,219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35,959,568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117,116,782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23,027,544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(146,507,355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(2,787,369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(1,577,268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20,977,553</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CONDENSED CONSOLIDATED INTERIM STATEMENTS OF SHAREHOLDERS’ EQUITY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290" w:type="dxa"/>
        <w:jc w:val="center"/>
        <w:tblInd w:w="0" w:type="dxa"/>
        <w:tblLayout w:type="fixed"/>
        <w:tblCellMar>
          <w:top w:w="0" w:type="dxa"/>
          <w:left w:w="0" w:type="dxa"/>
          <w:bottom w:w="0" w:type="dxa"/>
          <w:right w:w="0" w:type="dxa"/>
        </w:tblCellMar>
      </w:tblPr>
      <w:tblGrid>
        <w:gridCol w:w="890"/>
        <w:gridCol w:w="60"/>
        <w:gridCol w:w="60"/>
        <w:gridCol w:w="980"/>
        <w:gridCol w:w="60"/>
        <w:gridCol w:w="60"/>
        <w:gridCol w:w="140"/>
        <w:gridCol w:w="1100"/>
        <w:gridCol w:w="60"/>
        <w:gridCol w:w="60"/>
        <w:gridCol w:w="60"/>
        <w:gridCol w:w="1100"/>
        <w:gridCol w:w="60"/>
        <w:gridCol w:w="60"/>
        <w:gridCol w:w="140"/>
        <w:gridCol w:w="1220"/>
        <w:gridCol w:w="60"/>
        <w:gridCol w:w="60"/>
        <w:gridCol w:w="140"/>
        <w:gridCol w:w="1100"/>
        <w:gridCol w:w="155"/>
        <w:gridCol w:w="60"/>
        <w:gridCol w:w="140"/>
        <w:gridCol w:w="1295"/>
        <w:gridCol w:w="155"/>
        <w:gridCol w:w="60"/>
        <w:gridCol w:w="188"/>
        <w:gridCol w:w="1422"/>
        <w:gridCol w:w="155"/>
        <w:gridCol w:w="60"/>
        <w:gridCol w:w="199"/>
        <w:gridCol w:w="1501"/>
        <w:gridCol w:w="155"/>
        <w:gridCol w:w="60"/>
        <w:gridCol w:w="212"/>
        <w:gridCol w:w="1848"/>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Total-Shareholders’</w:t>
              <w:br/>
              <w:t>Equity</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8,355,638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29,738,321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51,939,206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195,406,895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28,520,331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(169,579,974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(2,044,137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(1,595,343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48" w:type="dxa"/>
            <w:tcBorders/>
            <w:shd w:fill="CCEEFF" w:val="clear"/>
            <w:vAlign w:val="bottom"/>
          </w:tcPr>
          <w:p>
            <w:pPr>
              <w:pStyle w:val="TableContents"/>
              <w:bidi w:val="0"/>
              <w:spacing w:before="0" w:after="283"/>
              <w:jc w:val="right"/>
              <w:rPr/>
            </w:pPr>
            <w:r>
              <w:rPr/>
              <w:t>80,446,093</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shares and pre-funded warrants, net of transaction costs (Note 11(b)(v) and 11(f))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7,607,145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49,364,657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9,270,238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283"/>
              <w:jc w:val="right"/>
              <w:rPr/>
            </w:pPr>
            <w:r>
              <w:rPr/>
              <w:t>58,634,895</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Share-based payments (Notes 11(d)(iii) and 11(d)(vi))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2,252,856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2,252,856</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warrants (Notes 11(b)(iv) and 11(e))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2,226,279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10,535,670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(701,438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283"/>
              <w:jc w:val="right"/>
              <w:rPr/>
            </w:pPr>
            <w:r>
              <w:rPr/>
              <w:t>9,834,232</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options (Notes 11(b)(iii) and 11(d)(iii))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(75,945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113,855</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Net 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(12,653,431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(1,415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(2,439,424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(2,439,424</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 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8,355,638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29,738,321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61,808,630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255,497,022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39,266,042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(182,233,405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422" w:type="dxa"/>
            <w:tcBorders/>
            <w:vAlign w:val="bottom"/>
          </w:tcPr>
          <w:p>
            <w:pPr>
              <w:pStyle w:val="TableContents"/>
              <w:bidi w:val="0"/>
              <w:spacing w:before="0" w:after="283"/>
              <w:jc w:val="right"/>
              <w:rPr/>
            </w:pPr>
            <w:r>
              <w:rPr/>
              <w:t>(4,483,561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501" w:type="dxa"/>
            <w:tcBorders/>
            <w:vAlign w:val="bottom"/>
          </w:tcPr>
          <w:p>
            <w:pPr>
              <w:pStyle w:val="TableContents"/>
              <w:bidi w:val="0"/>
              <w:spacing w:before="0" w:after="283"/>
              <w:jc w:val="right"/>
              <w:rPr/>
            </w:pPr>
            <w:r>
              <w:rPr/>
              <w:t>(1,596,758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848" w:type="dxa"/>
            <w:tcBorders/>
            <w:vAlign w:val="bottom"/>
          </w:tcPr>
          <w:p>
            <w:pPr>
              <w:pStyle w:val="TableContents"/>
              <w:bidi w:val="0"/>
              <w:spacing w:before="0" w:after="283"/>
              <w:jc w:val="right"/>
              <w:rPr/>
            </w:pPr>
            <w:r>
              <w:rPr/>
              <w:t>136,187,661</w:t>
            </w:r>
          </w:p>
        </w:tc>
        <w:tc>
          <w:tcPr>
            <w:tcW w:w="155"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CONDENSED CONSOLIDATED INTERIM STATEMENTS OF SHAREHOLDERS’ EQUITY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4865" w:type="dxa"/>
        <w:jc w:val="center"/>
        <w:tblInd w:w="0" w:type="dxa"/>
        <w:tblLayout w:type="fixed"/>
        <w:tblCellMar>
          <w:top w:w="0" w:type="dxa"/>
          <w:left w:w="0" w:type="dxa"/>
          <w:bottom w:w="0" w:type="dxa"/>
          <w:right w:w="0" w:type="dxa"/>
        </w:tblCellMar>
      </w:tblPr>
      <w:tblGrid>
        <w:gridCol w:w="890"/>
        <w:gridCol w:w="60"/>
        <w:gridCol w:w="60"/>
        <w:gridCol w:w="980"/>
        <w:gridCol w:w="155"/>
        <w:gridCol w:w="60"/>
        <w:gridCol w:w="140"/>
        <w:gridCol w:w="1100"/>
        <w:gridCol w:w="155"/>
        <w:gridCol w:w="60"/>
        <w:gridCol w:w="60"/>
        <w:gridCol w:w="1100"/>
        <w:gridCol w:w="60"/>
        <w:gridCol w:w="60"/>
        <w:gridCol w:w="140"/>
        <w:gridCol w:w="1220"/>
        <w:gridCol w:w="60"/>
        <w:gridCol w:w="60"/>
        <w:gridCol w:w="140"/>
        <w:gridCol w:w="1100"/>
        <w:gridCol w:w="155"/>
        <w:gridCol w:w="60"/>
        <w:gridCol w:w="140"/>
        <w:gridCol w:w="1295"/>
        <w:gridCol w:w="155"/>
        <w:gridCol w:w="60"/>
        <w:gridCol w:w="188"/>
        <w:gridCol w:w="1422"/>
        <w:gridCol w:w="155"/>
        <w:gridCol w:w="60"/>
        <w:gridCol w:w="199"/>
        <w:gridCol w:w="1501"/>
        <w:gridCol w:w="155"/>
        <w:gridCol w:w="60"/>
        <w:gridCol w:w="148"/>
        <w:gridCol w:w="1297"/>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Shareholders’</w:t>
              <w:br/>
              <w:t>Equity</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March 31, 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8,355,638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29,738,321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61,808,630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255,497,022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39,266,042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(182,233,405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(4,483,561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(1,596,758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97" w:type="dxa"/>
            <w:tcBorders/>
            <w:shd w:fill="CCEEFF" w:val="clear"/>
            <w:vAlign w:val="bottom"/>
          </w:tcPr>
          <w:p>
            <w:pPr>
              <w:pStyle w:val="TableContents"/>
              <w:bidi w:val="0"/>
              <w:spacing w:before="0" w:after="283"/>
              <w:jc w:val="right"/>
              <w:rPr/>
            </w:pPr>
            <w:r>
              <w:rPr/>
              <w:t>136,187,661</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Share-based payments (Notes 11(d)(iii) and 11(d)(vi))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3,032,008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3,032,008</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Conversion of preferred shares into common shares (Note 11 (c))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(214,922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214,922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warrants (Notes 11(b)(iv) and 11(e))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3,451,329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7,647,592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(647,741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6,999,851</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options (Notes 11(b)(iii) and 11(d)(iii))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151,651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801,853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(325,332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476,521</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Settlement of RSUs (Note 11(d)(vi))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2,613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(16,476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(14,486,955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(6,478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(14,493,433</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(2,528,846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(2,528,846</w:t>
            </w:r>
          </w:p>
        </w:tc>
        <w:tc>
          <w:tcPr>
            <w:tcW w:w="155"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June 30, 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8,295,638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29,523,399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65,474,223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264,177,865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41,308,501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(196,720,360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(7,012,407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1,603,236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97" w:type="dxa"/>
            <w:tcBorders/>
            <w:shd w:fill="CCEEFF" w:val="clear"/>
            <w:vAlign w:val="bottom"/>
          </w:tcPr>
          <w:p>
            <w:pPr>
              <w:pStyle w:val="TableContents"/>
              <w:bidi w:val="0"/>
              <w:spacing w:before="0" w:after="283"/>
              <w:jc w:val="right"/>
              <w:rPr/>
            </w:pPr>
            <w:r>
              <w:rPr/>
              <w:t>129,673,762</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CONDENSED CONSOLIDATED INTERIM STATEMENTS OF CASH FLOWS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0"/>
        <w:gridCol w:w="143"/>
        <w:gridCol w:w="140"/>
        <w:gridCol w:w="1189"/>
        <w:gridCol w:w="155"/>
        <w:gridCol w:w="111"/>
        <w:gridCol w:w="140"/>
        <w:gridCol w:w="1189"/>
        <w:gridCol w:w="158"/>
      </w:tblGrid>
      <w:tr>
        <w:trPr/>
        <w:tc>
          <w:tcPr>
            <w:tcW w:w="698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8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w:t>
            </w:r>
            <w:r>
              <w:rPr/>
              <w:br/>
            </w:r>
            <w:r>
              <w:rPr>
                <w:b/>
              </w:rPr>
              <w:t>ended June 30,</w:t>
              <w:b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w:t>
            </w:r>
            <w:r>
              <w:rPr/>
              <w:br/>
            </w:r>
            <w:r>
              <w:rPr>
                <w:b/>
              </w:rPr>
              <w:t>ended June 30,</w:t>
              <w:br/>
              <w:t>2025</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(27,148,279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(15,514,958</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 on short-term investments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(1,236,201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(Note 6 and 7)</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225,081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101,918</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liability</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43,385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2,054</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sale of equipment (Note 6)</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2,704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1,075</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 (Notes 11(d)(iii) and 11(d)(v))</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5,284,865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2,610,655</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payments (Note 9)</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(123,787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(41,488</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(4,468,381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705,643</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2,893,796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(554,159</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1,289,125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(1,733,161</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Amounts receivable</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(2,204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104,096</w:t>
            </w:r>
          </w:p>
        </w:tc>
        <w:tc>
          <w:tcPr>
            <w:tcW w:w="158" w:type="dxa"/>
            <w:tcBorders/>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used in operating activities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(23,239,896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(14,318,325</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equipment (Note 6)</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(500,045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(335,269</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short-term investments (Note 4)</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(79,724,564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used in investing activities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(80,224,609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(335,269</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Overnight marketed public offering (net of transaction costs) (Note 11(b)(v))</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49,364,657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pre-funded warrants (net of transaction costs) (Note 11(f))</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9,270,238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warrants (Note 11(e))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16,834,083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633,861</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options (Note 11 (d)(iii))</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590,376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35,840</w:t>
            </w:r>
          </w:p>
        </w:tc>
        <w:tc>
          <w:tcPr>
            <w:tcW w:w="158" w:type="dxa"/>
            <w:tcBorders/>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provided by financing activities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76,059,354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669,701</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b/>
                <w:sz w:val="20"/>
              </w:rPr>
            </w:pPr>
            <w:r>
              <w:rPr>
                <w:rFonts w:ascii="Times New Roman" w:hAnsi="Times New Roman"/>
                <w:b/>
                <w:sz w:val="20"/>
              </w:rPr>
              <w:t>Decrease in cash and cash equivalents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(27,405,151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(13,983,893</w:t>
            </w:r>
          </w:p>
        </w:tc>
        <w:tc>
          <w:tcPr>
            <w:tcW w:w="158" w:type="dxa"/>
            <w:tcBorders/>
            <w:vAlign w:val="bottom"/>
          </w:tcPr>
          <w:p>
            <w:pPr>
              <w:pStyle w:val="TableContents"/>
              <w:bidi w:val="0"/>
              <w:spacing w:before="0" w:after="283"/>
              <w:jc w:val="left"/>
              <w:rPr/>
            </w:pPr>
            <w:r>
              <w:rPr/>
              <w:t>) </w:t>
            </w:r>
          </w:p>
        </w:tc>
      </w:tr>
      <w:tr>
        <w:trPr/>
        <w:tc>
          <w:tcPr>
            <w:tcW w:w="6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Foreign exchange effect on cash and cash equivalents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(732,164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648,243</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beginning of period</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80,563,482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33,101,294</w:t>
            </w:r>
          </w:p>
        </w:tc>
        <w:tc>
          <w:tcPr>
            <w:tcW w:w="158" w:type="dxa"/>
            <w:tcBorders/>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end of period</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9" w:type="dxa"/>
            <w:tcBorders/>
            <w:shd w:fill="CCEEFF" w:val="clear"/>
            <w:vAlign w:val="bottom"/>
          </w:tcPr>
          <w:p>
            <w:pPr>
              <w:pStyle w:val="TableContents"/>
              <w:bidi w:val="0"/>
              <w:spacing w:before="0" w:after="283"/>
              <w:jc w:val="right"/>
              <w:rPr>
                <w:b/>
              </w:rPr>
            </w:pPr>
            <w:r>
              <w:rPr>
                <w:b/>
              </w:rPr>
              <w:t>52,426,167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9" w:type="dxa"/>
            <w:tcBorders/>
            <w:shd w:fill="CCEEFF" w:val="clear"/>
            <w:vAlign w:val="bottom"/>
          </w:tcPr>
          <w:p>
            <w:pPr>
              <w:pStyle w:val="TableContents"/>
              <w:bidi w:val="0"/>
              <w:spacing w:before="0" w:after="283"/>
              <w:jc w:val="right"/>
              <w:rPr>
                <w:b/>
              </w:rPr>
            </w:pPr>
            <w:r>
              <w:rPr>
                <w:b/>
              </w:rPr>
              <w:t>19,765,644</w:t>
            </w:r>
          </w:p>
        </w:tc>
        <w:tc>
          <w:tcPr>
            <w:tcW w:w="158"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disclosure with respect to cash flows (Note 17) </w:t>
      </w:r>
    </w:p>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AND GOING CONCERN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Eupraxia Pharmaceuticals Inc. (the “Company”) was incorporated under the laws of the province of Alberta on May 12, 2011, under the name Plaza Capital Partners Inc. On May 11, 2012, the Company changed its name to Eupraxia Pharmaceuticals Inc. and continued from the province of Alberta to the province of British Columbia. </w:t>
      </w:r>
    </w:p>
    <w:p>
      <w:pPr>
        <w:pStyle w:val="TextBody"/>
        <w:bidi w:val="0"/>
        <w:spacing w:before="120" w:after="0"/>
        <w:jc w:val="left"/>
        <w:rPr>
          <w:rFonts w:ascii="Times New Roman" w:hAnsi="Times New Roman"/>
          <w:sz w:val="20"/>
        </w:rPr>
      </w:pPr>
      <w:r>
        <w:rPr>
          <w:rFonts w:ascii="Times New Roman" w:hAnsi="Times New Roman"/>
          <w:sz w:val="20"/>
        </w:rPr>
        <w:t xml:space="preserve">On October 10, 2012, Eupraxia Holdings, Inc. (“Holdings”) was incorporated under the laws of the State of Delaware, USA. On November 16, 2012, Holdings was registered as an extra-provincial corporation under the laws of the province of British Columbia, Canada. On October 10, 2012, Eupraxia Pharmaceuticals USA, LLC (“Eupraxia LLC”) was incorporated under the laws of the State of Delaware. On November 16, 2012, Eupraxia USA was registered as an extra-provincial corporation under the laws of the province of British Columbia. On January 7, 2021, Eupraxia Pharma, Inc. (“Eupraxia Pharma”) was incorporated under the laws of the State of Delaware. On July 4, 2022, Eupraxia Pharmaceuticals Australia Pty Ltd. (“Eupraxia Australia”) was incorporated under the laws of the state of Victoria, Australia. On May 17, 2023, Eupraxia Pharma USA Inc. (“Eupraxia Pharma USA”) was incorporated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On March 9, 2021, the Company completed its initial public offering on the Toronto Stock Exchange (“TSX”) and began trading under the symbol “EPRX”. On April 5, 2024, the Company began trading on the Nasdaq Capital Market under the symbol “EPRX”.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clinical stage biotechnology company leveraging its proprietary Diffusphere technology to optimize drug delivery for applications with significant unmet medical need. The address of the Company’s corporate office and principal place of business is 2198 Yukon Street, Vancouver, British Columbia, Canada.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interim financial statements of the Company have been prepared on a going concern basis with the assumption that the Company will be able to realize its assets and discharge its liabilities and commitments in the normal course of business. At June 30, 2026, the Company had cash and cash equivalents of $52,426,167 as well as short-term investments of $81,234,688. The Company has not yet generated revenue from operations. The Company incurred a net loss of $27,148,279 during the six months ended June 30, 2026, and as of that date, the Company’s accumulated deficit was $196,720,360. As the Company is in the research and development stage, the recoverability of the costs incurred to date is dependent upon the ability of the Company to obtain the necessary funding to complete the research and development of its projects and upon future commercialization or proceeds from the monetization of research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periodically have to raise funds to continue operations and raised proceeds of approximately $58.6 million (net of underwriting commissions and expenses) through a public offering of 7,607,145 common shares of the Company and pre-funded warrants to purchase up to 1,428,571 common shares on February 20, 2026. Although it has been successful in doing so in the past, there is no assurance it will be able to do so in the future. The Company is active in its pursuit of additional funding through potential partnering and other strategic activities as well as grants to fund future research and development activities, and additional 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The continued operations of the Company are dependent on its ability to generate future cash flows or obtain additional funding. There is a risk that in the future, additional financing will not be available on a timely basis or on terms acceptable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interim financial statements are presented in U.S. dollars and have been prepared in accordance with United States generally accepted accounting principles (“U.S. GAAP”). These condensed consolidated interim financial statements include the accounts of the Company and the accounts of its subsidiaries. All significant intercompany transactions and balances have been eliminated upon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interim financial statements have been prepared in accordance with U.S. GAAP and pursuant to the rules and regulations of the United States Securities and Exchange Commission (“SEC”) for interim financial information. Accordingly, these condensed consolidated interim financial statements do not include all the information and footnotes required for complete consolidated financial statements and should be read in conjunction with the audited consolidated financial statements and notes for the year ended December 31, 2025 included in the Company’s 2025 40-F filed with the SEC and on SEDAR+ on March 13, 2026.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interim financial statements reflect all adjustments, consisting of normal recurring adjustments, which, in the opinion of management, are necessary for a fair presentation of results for the interim periods presented. The results of operations for the three and six months ended June 30, 2026, and 2025 are not necessarily indicative of results that can be expected for a full year. These condensed consolidated interim financial statements follow the same significant accounting policies as those described in the notes to the audited consolidated financial statements of the Company included in the Company’s 2025 Form 40-F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UPCOMING ACCOUNTING STANDARDS AND INTERPRETATIONS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Basis of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interim financial statements have been prepared on a historical cost basis, except for certain financial instruments which are measured at fair value. The condensed consolidated interim financial statements are presented in U.S. dollars, which is the Company’s reporting currency. The Company’s functional currency is the Canadian dollar.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condensed consolidated interim financial statements in accordance with U.S. GAAP requires the Company to make estimates and judgments in certain circumstances that affect the reported amounts of assets, liabilities, expenses, and related disclosure. On an ongoing basis, the Company evaluates its estimates, most notably those related to accrual of expenses including clinical and preclinical study expense accruals, stock-based compensation and the valuation allowance for deferred taxes. Management bases its estimates on historical experience and on various other assumptions that it believes to be reasonable under the circumstances. Actual results could differ from these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interim financial statements include the accounts of the Company and the accounts of its subsidiaries. The financial statements of subsidiaries are included in the condensed consolidated interim financial statements from the date that control commences until the date that control ceases. Control exists when an entity is exposed to or has rights to variable returns from its involvement with the entity and has the ability to affect these returns through its power over the entity. All significant intercompany transactions and balances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w:t>
      </w:r>
      <w:r>
        <w:rPr>
          <w:rFonts w:ascii="Times New Roman" w:hAnsi="Times New Roman"/>
          <w:b/>
          <w:sz w:val="20"/>
        </w:rPr>
        <w:t>ASU 2024-03</w:t>
      </w:r>
      <w:r>
        <w:rPr>
          <w:rFonts w:ascii="Times New Roman" w:hAnsi="Times New Roman"/>
          <w:sz w:val="20"/>
        </w:rPr>
        <w:t xml:space="preserve">, </w:t>
      </w:r>
      <w:r>
        <w:rPr>
          <w:rFonts w:ascii="Times New Roman" w:hAnsi="Times New Roman"/>
          <w:i/>
          <w:sz w:val="20"/>
        </w:rPr>
        <w:t>Income Statement—Reporting Comprehensive Income—Expense Disaggregation</w:t>
      </w:r>
      <w:r>
        <w:rPr>
          <w:rFonts w:ascii="Times New Roman" w:hAnsi="Times New Roman"/>
          <w:sz w:val="20"/>
        </w:rPr>
        <w:t xml:space="preserve"> Disclosures (Subtopic 220-40). This standard requires public business entities to disclose, in the footnotes, a tabular disaggregation of certain expense captions into specific natural categories. The standard is effective for the Company’s annual reporting periods beginning after December 15, 2026 (fiscal year 2027). The Company does not intend to early adopt this guidance and is currently evaluating the impact that the adoption will have on its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details of movement in the carrying value of short-term investments: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43"/>
        <w:gridCol w:w="418"/>
        <w:gridCol w:w="140"/>
        <w:gridCol w:w="1195"/>
        <w:gridCol w:w="60"/>
        <w:gridCol w:w="418"/>
        <w:gridCol w:w="380"/>
        <w:gridCol w:w="1137"/>
        <w:gridCol w:w="64"/>
      </w:tblGrid>
      <w:tr>
        <w:trPr/>
        <w:tc>
          <w:tcPr>
            <w:tcW w:w="3943"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43"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39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beginning</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43"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79,724,564</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1,236,201</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43"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273,923</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43"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95" w:type="dxa"/>
            <w:tcBorders/>
            <w:shd w:fill="CCEEFF" w:val="clear"/>
            <w:vAlign w:val="bottom"/>
          </w:tcPr>
          <w:p>
            <w:pPr>
              <w:pStyle w:val="TableContents"/>
              <w:bidi w:val="0"/>
              <w:spacing w:before="0" w:after="283"/>
              <w:jc w:val="right"/>
              <w:rPr>
                <w:b/>
              </w:rPr>
            </w:pPr>
            <w:r>
              <w:rPr>
                <w:b/>
              </w:rPr>
              <w:t>81,234,688</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b/>
              </w:rPr>
            </w:pPr>
            <w:r>
              <w:rPr>
                <w:b/>
              </w:rPr>
              <w:t>$</w:t>
            </w:r>
          </w:p>
        </w:tc>
        <w:tc>
          <w:tcPr>
            <w:tcW w:w="113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43"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AMOUNTS RECEIVABLE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54"/>
        <w:gridCol w:w="292"/>
        <w:gridCol w:w="140"/>
        <w:gridCol w:w="865"/>
        <w:gridCol w:w="60"/>
        <w:gridCol w:w="292"/>
        <w:gridCol w:w="211"/>
        <w:gridCol w:w="1276"/>
        <w:gridCol w:w="65"/>
      </w:tblGrid>
      <w:tr>
        <w:trPr/>
        <w:tc>
          <w:tcPr>
            <w:tcW w:w="4554"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5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5" w:type="dxa"/>
            <w:tcBorders/>
            <w:vAlign w:val="bottom"/>
          </w:tcPr>
          <w:p>
            <w:pPr>
              <w:pStyle w:val="TableContents"/>
              <w:bidi w:val="0"/>
              <w:spacing w:before="0" w:after="283"/>
              <w:jc w:val="left"/>
              <w:rPr/>
            </w:pPr>
            <w:r>
              <w:rPr/>
              <w:t> </w:t>
            </w:r>
          </w:p>
        </w:tc>
      </w:tr>
      <w:tr>
        <w:trPr/>
        <w:tc>
          <w:tcPr>
            <w:tcW w:w="4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GST/HST recoverable</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207,973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210,302</w:t>
            </w:r>
          </w:p>
        </w:tc>
        <w:tc>
          <w:tcPr>
            <w:tcW w:w="65" w:type="dxa"/>
            <w:tcBorders/>
            <w:shd w:fill="CCEEFF" w:val="clear"/>
            <w:vAlign w:val="bottom"/>
          </w:tcPr>
          <w:p>
            <w:pPr>
              <w:pStyle w:val="TableContents"/>
              <w:bidi w:val="0"/>
              <w:spacing w:before="0" w:after="283"/>
              <w:jc w:val="left"/>
              <w:rPr/>
            </w:pPr>
            <w:r>
              <w:rPr/>
              <w:t> </w:t>
            </w:r>
          </w:p>
        </w:tc>
      </w:tr>
      <w:tr>
        <w:trPr/>
        <w:tc>
          <w:tcPr>
            <w:tcW w:w="4554" w:type="dxa"/>
            <w:tcBorders/>
          </w:tcPr>
          <w:p>
            <w:pPr>
              <w:pStyle w:val="TableContents"/>
              <w:bidi w:val="0"/>
              <w:spacing w:before="0" w:after="0"/>
              <w:jc w:val="left"/>
              <w:rPr>
                <w:rFonts w:ascii="Times New Roman" w:hAnsi="Times New Roman"/>
                <w:sz w:val="20"/>
              </w:rPr>
            </w:pPr>
            <w:r>
              <w:rPr>
                <w:rFonts w:ascii="Times New Roman" w:hAnsi="Times New Roman"/>
                <w:sz w:val="20"/>
              </w:rPr>
              <w:t>Other refundable tax credits (1)</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480,246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463,924</w:t>
            </w:r>
          </w:p>
        </w:tc>
        <w:tc>
          <w:tcPr>
            <w:tcW w:w="65" w:type="dxa"/>
            <w:tcBorders/>
            <w:vAlign w:val="bottom"/>
          </w:tcPr>
          <w:p>
            <w:pPr>
              <w:pStyle w:val="TableContents"/>
              <w:bidi w:val="0"/>
              <w:spacing w:before="0" w:after="283"/>
              <w:jc w:val="left"/>
              <w:rPr/>
            </w:pPr>
            <w:r>
              <w:rPr/>
              <w:t> </w:t>
            </w:r>
          </w:p>
        </w:tc>
      </w:tr>
      <w:tr>
        <w:trPr/>
        <w:tc>
          <w:tcPr>
            <w:tcW w:w="455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5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65" w:type="dxa"/>
            <w:tcBorders/>
            <w:shd w:fill="CCEEFF" w:val="clear"/>
            <w:vAlign w:val="bottom"/>
          </w:tcPr>
          <w:p>
            <w:pPr>
              <w:pStyle w:val="TableContents"/>
              <w:bidi w:val="0"/>
              <w:spacing w:before="0" w:after="283"/>
              <w:jc w:val="right"/>
              <w:rPr>
                <w:b/>
              </w:rPr>
            </w:pPr>
            <w:r>
              <w:rPr>
                <w:b/>
              </w:rPr>
              <w:t>688,219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674,226</w:t>
            </w:r>
          </w:p>
        </w:tc>
        <w:tc>
          <w:tcPr>
            <w:tcW w:w="65" w:type="dxa"/>
            <w:tcBorders/>
            <w:shd w:fill="CCEEFF" w:val="clear"/>
            <w:vAlign w:val="bottom"/>
          </w:tcPr>
          <w:p>
            <w:pPr>
              <w:pStyle w:val="TableContents"/>
              <w:bidi w:val="0"/>
              <w:spacing w:before="0" w:after="283"/>
              <w:jc w:val="left"/>
              <w:rPr/>
            </w:pPr>
            <w:r>
              <w:rPr/>
              <w:t> </w:t>
            </w:r>
          </w:p>
        </w:tc>
      </w:tr>
      <w:tr>
        <w:trPr/>
        <w:tc>
          <w:tcPr>
            <w:tcW w:w="455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refundable tax credits represent tax incentives for R&amp;D costs incurred by Eupraxia Australia (Note 12 – Research and Development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04"/>
        <w:gridCol w:w="153"/>
        <w:gridCol w:w="172"/>
        <w:gridCol w:w="992"/>
        <w:gridCol w:w="155"/>
        <w:gridCol w:w="98"/>
        <w:gridCol w:w="240"/>
        <w:gridCol w:w="1387"/>
        <w:gridCol w:w="155"/>
        <w:gridCol w:w="98"/>
        <w:gridCol w:w="224"/>
        <w:gridCol w:w="1271"/>
        <w:gridCol w:w="155"/>
        <w:gridCol w:w="98"/>
        <w:gridCol w:w="145"/>
        <w:gridCol w:w="1017"/>
        <w:gridCol w:w="155"/>
        <w:gridCol w:w="98"/>
        <w:gridCol w:w="140"/>
        <w:gridCol w:w="984"/>
        <w:gridCol w:w="164"/>
      </w:tblGrid>
      <w:tr>
        <w:trPr/>
        <w:tc>
          <w:tcPr>
            <w:tcW w:w="230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Computers</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furniture</w:t>
              <w:br/>
              <w:t>and equipment</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Improvements</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Lab</w:t>
              <w:br/>
              <w:t>Equipment</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10041" w:type="dxa"/>
            <w:gridSpan w:val="20"/>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Cost</w:t>
            </w:r>
          </w:p>
        </w:tc>
        <w:tc>
          <w:tcPr>
            <w:tcW w:w="164" w:type="dxa"/>
            <w:tcBorders/>
            <w:shd w:fill="CCEEFF" w:val="clear"/>
          </w:tcPr>
          <w:p>
            <w:pPr>
              <w:pStyle w:val="TableContents"/>
              <w:bidi w:val="0"/>
              <w:spacing w:before="0" w:after="0"/>
              <w:jc w:val="left"/>
              <w:rPr/>
            </w:pPr>
            <w:r>
              <w:rPr/>
              <w:t> </w:t>
            </w:r>
          </w:p>
        </w:tc>
      </w:tr>
      <w:tr>
        <w:trPr/>
        <w:tc>
          <w:tcPr>
            <w:tcW w:w="2304" w:type="dxa"/>
            <w:tcBorders/>
          </w:tcPr>
          <w:p>
            <w:pPr>
              <w:pStyle w:val="TableContents"/>
              <w:bidi w:val="0"/>
              <w:spacing w:before="0" w:after="0"/>
              <w:jc w:val="left"/>
              <w:rPr>
                <w:rFonts w:ascii="Times New Roman" w:hAnsi="Times New Roman"/>
                <w:b/>
                <w:sz w:val="20"/>
              </w:rPr>
            </w:pPr>
            <w:r>
              <w:rPr>
                <w:rFonts w:ascii="Times New Roman" w:hAnsi="Times New Roman"/>
                <w:b/>
                <w:sz w:val="20"/>
              </w:rPr>
              <w:t>As at January 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79,237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b/>
              </w:rPr>
            </w:pPr>
            <w:r>
              <w:rPr>
                <w:b/>
              </w:rPr>
              <w:t>$</w:t>
            </w:r>
          </w:p>
        </w:tc>
        <w:tc>
          <w:tcPr>
            <w:tcW w:w="1387" w:type="dxa"/>
            <w:tcBorders/>
            <w:vAlign w:val="bottom"/>
          </w:tcPr>
          <w:p>
            <w:pPr>
              <w:pStyle w:val="TableContents"/>
              <w:bidi w:val="0"/>
              <w:spacing w:before="0" w:after="283"/>
              <w:jc w:val="right"/>
              <w:rPr>
                <w:b/>
              </w:rPr>
            </w:pPr>
            <w:r>
              <w:rPr>
                <w:b/>
              </w:rPr>
              <w:t>60,369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b/>
              </w:rPr>
            </w:pPr>
            <w:r>
              <w:rPr>
                <w:b/>
              </w:rPr>
              <w:t>$</w:t>
            </w:r>
          </w:p>
        </w:tc>
        <w:tc>
          <w:tcPr>
            <w:tcW w:w="1271" w:type="dxa"/>
            <w:tcBorders/>
            <w:vAlign w:val="bottom"/>
          </w:tcPr>
          <w:p>
            <w:pPr>
              <w:pStyle w:val="TableContents"/>
              <w:bidi w:val="0"/>
              <w:spacing w:before="0" w:after="283"/>
              <w:jc w:val="right"/>
              <w:rPr>
                <w:b/>
              </w:rPr>
            </w:pPr>
            <w:r>
              <w:rPr>
                <w:b/>
              </w:rPr>
              <w:t>118,359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017" w:type="dxa"/>
            <w:tcBorders/>
            <w:vAlign w:val="bottom"/>
          </w:tcPr>
          <w:p>
            <w:pPr>
              <w:pStyle w:val="TableContents"/>
              <w:bidi w:val="0"/>
              <w:spacing w:before="0" w:after="283"/>
              <w:jc w:val="right"/>
              <w:rPr>
                <w:b/>
              </w:rPr>
            </w:pPr>
            <w:r>
              <w:rPr>
                <w:b/>
              </w:rPr>
              <w:t>559,618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4" w:type="dxa"/>
            <w:tcBorders/>
            <w:vAlign w:val="bottom"/>
          </w:tcPr>
          <w:p>
            <w:pPr>
              <w:pStyle w:val="TableContents"/>
              <w:bidi w:val="0"/>
              <w:spacing w:before="0" w:after="283"/>
              <w:jc w:val="right"/>
              <w:rPr>
                <w:b/>
              </w:rPr>
            </w:pPr>
            <w:r>
              <w:rPr>
                <w:b/>
              </w:rPr>
              <w:t>817,583</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82,254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12,715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3,535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516,752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615,256</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(3,860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(3,817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(7,677</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4,190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3,108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5,932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40,204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53,434</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b/>
                <w:sz w:val="20"/>
              </w:rPr>
            </w:pPr>
            <w:r>
              <w:rPr>
                <w:rFonts w:ascii="Times New Roman" w:hAnsi="Times New Roman"/>
                <w:b/>
                <w:sz w:val="20"/>
              </w:rPr>
              <w:t>As at December 31,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161,821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72,375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127,826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1,116,574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1,478,596</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31,408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59,362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14,809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458,910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564,489</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(4,353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(4,353</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(5,601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(4,641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(5,047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(54,616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(69,905</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June 30, 2026</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183,275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127,096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137,588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1,520,868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1,968,827</w:t>
            </w:r>
          </w:p>
        </w:tc>
        <w:tc>
          <w:tcPr>
            <w:tcW w:w="164"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0041" w:type="dxa"/>
            <w:gridSpan w:val="20"/>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Accumulated Depreciation</w:t>
            </w:r>
          </w:p>
        </w:tc>
        <w:tc>
          <w:tcPr>
            <w:tcW w:w="164" w:type="dxa"/>
            <w:tcBorders/>
            <w:shd w:fill="CCEEFF" w:val="clear"/>
          </w:tcPr>
          <w:p>
            <w:pPr>
              <w:pStyle w:val="TableContents"/>
              <w:bidi w:val="0"/>
              <w:spacing w:before="0" w:after="0"/>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January 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56,180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46,260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114,177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243,073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459,690</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33,606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3,404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5,205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122,189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164,404</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(3,556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(1,559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(5,115</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2,454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2,351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5,798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14,585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25,188</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88,684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50,456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125,180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379,847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644,167</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19,758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5,967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2,469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111,938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140,132</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(1,649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(1,649</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(2,730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(1,963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(4,519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(16,800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(26,012</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June 30, 2026</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104,063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54,460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123,130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474,985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756,638</w:t>
            </w:r>
          </w:p>
        </w:tc>
        <w:tc>
          <w:tcPr>
            <w:tcW w:w="164"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Net Book Value</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73,137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b/>
              </w:rPr>
            </w:pPr>
            <w:r>
              <w:rPr>
                <w:b/>
              </w:rPr>
              <w:t>$</w:t>
            </w:r>
          </w:p>
        </w:tc>
        <w:tc>
          <w:tcPr>
            <w:tcW w:w="1387" w:type="dxa"/>
            <w:tcBorders/>
            <w:vAlign w:val="bottom"/>
          </w:tcPr>
          <w:p>
            <w:pPr>
              <w:pStyle w:val="TableContents"/>
              <w:bidi w:val="0"/>
              <w:spacing w:before="0" w:after="283"/>
              <w:jc w:val="right"/>
              <w:rPr>
                <w:b/>
              </w:rPr>
            </w:pPr>
            <w:r>
              <w:rPr>
                <w:b/>
              </w:rPr>
              <w:t>21,919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b/>
              </w:rPr>
            </w:pPr>
            <w:r>
              <w:rPr>
                <w:b/>
              </w:rPr>
              <w:t>$</w:t>
            </w:r>
          </w:p>
        </w:tc>
        <w:tc>
          <w:tcPr>
            <w:tcW w:w="1271" w:type="dxa"/>
            <w:tcBorders/>
            <w:vAlign w:val="bottom"/>
          </w:tcPr>
          <w:p>
            <w:pPr>
              <w:pStyle w:val="TableContents"/>
              <w:bidi w:val="0"/>
              <w:spacing w:before="0" w:after="283"/>
              <w:jc w:val="right"/>
              <w:rPr>
                <w:b/>
              </w:rPr>
            </w:pPr>
            <w:r>
              <w:rPr>
                <w:b/>
              </w:rPr>
              <w:t>2,646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017" w:type="dxa"/>
            <w:tcBorders/>
            <w:vAlign w:val="bottom"/>
          </w:tcPr>
          <w:p>
            <w:pPr>
              <w:pStyle w:val="TableContents"/>
              <w:bidi w:val="0"/>
              <w:spacing w:before="0" w:after="283"/>
              <w:jc w:val="right"/>
              <w:rPr>
                <w:b/>
              </w:rPr>
            </w:pPr>
            <w:r>
              <w:rPr>
                <w:b/>
              </w:rPr>
              <w:t>736,727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4" w:type="dxa"/>
            <w:tcBorders/>
            <w:vAlign w:val="bottom"/>
          </w:tcPr>
          <w:p>
            <w:pPr>
              <w:pStyle w:val="TableContents"/>
              <w:bidi w:val="0"/>
              <w:spacing w:before="0" w:after="283"/>
              <w:jc w:val="right"/>
              <w:rPr>
                <w:b/>
              </w:rPr>
            </w:pPr>
            <w:r>
              <w:rPr>
                <w:b/>
              </w:rPr>
              <w:t>834,429</w:t>
            </w:r>
          </w:p>
        </w:tc>
        <w:tc>
          <w:tcPr>
            <w:tcW w:w="164"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June 30, 2026</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992" w:type="dxa"/>
            <w:tcBorders/>
            <w:shd w:fill="CCEEFF" w:val="clear"/>
            <w:vAlign w:val="bottom"/>
          </w:tcPr>
          <w:p>
            <w:pPr>
              <w:pStyle w:val="TableContents"/>
              <w:bidi w:val="0"/>
              <w:spacing w:before="0" w:after="283"/>
              <w:jc w:val="right"/>
              <w:rPr>
                <w:b/>
              </w:rPr>
            </w:pPr>
            <w:r>
              <w:rPr>
                <w:b/>
              </w:rPr>
              <w:t>79,212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b/>
              </w:rPr>
            </w:pPr>
            <w:r>
              <w:rPr>
                <w:b/>
              </w:rPr>
              <w:t>$</w:t>
            </w:r>
          </w:p>
        </w:tc>
        <w:tc>
          <w:tcPr>
            <w:tcW w:w="1387" w:type="dxa"/>
            <w:tcBorders/>
            <w:shd w:fill="CCEEFF" w:val="clear"/>
            <w:vAlign w:val="bottom"/>
          </w:tcPr>
          <w:p>
            <w:pPr>
              <w:pStyle w:val="TableContents"/>
              <w:bidi w:val="0"/>
              <w:spacing w:before="0" w:after="283"/>
              <w:jc w:val="right"/>
              <w:rPr>
                <w:b/>
              </w:rPr>
            </w:pPr>
            <w:r>
              <w:rPr>
                <w:b/>
              </w:rPr>
              <w:t>72,636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b/>
              </w:rPr>
            </w:pPr>
            <w:r>
              <w:rPr>
                <w:b/>
              </w:rPr>
              <w:t>$</w:t>
            </w:r>
          </w:p>
        </w:tc>
        <w:tc>
          <w:tcPr>
            <w:tcW w:w="1271" w:type="dxa"/>
            <w:tcBorders/>
            <w:shd w:fill="CCEEFF" w:val="clear"/>
            <w:vAlign w:val="bottom"/>
          </w:tcPr>
          <w:p>
            <w:pPr>
              <w:pStyle w:val="TableContents"/>
              <w:bidi w:val="0"/>
              <w:spacing w:before="0" w:after="283"/>
              <w:jc w:val="right"/>
              <w:rPr>
                <w:b/>
              </w:rPr>
            </w:pPr>
            <w:r>
              <w:rPr>
                <w:b/>
              </w:rPr>
              <w:t>14,458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17" w:type="dxa"/>
            <w:tcBorders/>
            <w:shd w:fill="CCEEFF" w:val="clear"/>
            <w:vAlign w:val="bottom"/>
          </w:tcPr>
          <w:p>
            <w:pPr>
              <w:pStyle w:val="TableContents"/>
              <w:bidi w:val="0"/>
              <w:spacing w:before="0" w:after="283"/>
              <w:jc w:val="right"/>
              <w:rPr>
                <w:b/>
              </w:rPr>
            </w:pPr>
            <w:r>
              <w:rPr>
                <w:b/>
              </w:rPr>
              <w:t>1,045,883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4" w:type="dxa"/>
            <w:tcBorders/>
            <w:shd w:fill="CCEEFF" w:val="clear"/>
            <w:vAlign w:val="bottom"/>
          </w:tcPr>
          <w:p>
            <w:pPr>
              <w:pStyle w:val="TableContents"/>
              <w:bidi w:val="0"/>
              <w:spacing w:before="0" w:after="283"/>
              <w:jc w:val="right"/>
              <w:rPr>
                <w:b/>
              </w:rPr>
            </w:pPr>
            <w:r>
              <w:rPr>
                <w:b/>
              </w:rPr>
              <w:t>1,212,189</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June 30, 2026 and 2025, depreciation expense of $79,952 and $36,554, respectively, was recognized with $73,086 included in research and development and $6,866 included in general and administrative ($33,169 and $3,385 for research and development and general and administrative in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2026 and 2025, depreciation expense of $140,132 and $65,173, respectively, was recognized with $128,516 included in research and development and $11,616 included in general and administrative ($59,984 and $5,189 for research and development, and general and administrative in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RIGHT-OF-USE ASSET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28, 2026, the Company entered into a lease for office and laboratory space in Vancouver, BC until February 28, 2031 with the option to extend for an additional five years. On July 23, 2025, the Company extended the lease of the office space in Victoria, BC until November 30, 2026 (with the option to extend for an additional year. The Company notified the landlord on April 10, 2026 that it would not be exercising the option to extend the lease beyond November 20, 2026). The following table presents details of movement in the carrying value of the right-of-use asset: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93"/>
        <w:gridCol w:w="320"/>
        <w:gridCol w:w="140"/>
        <w:gridCol w:w="1041"/>
        <w:gridCol w:w="155"/>
        <w:gridCol w:w="275"/>
        <w:gridCol w:w="210"/>
        <w:gridCol w:w="1263"/>
        <w:gridCol w:w="158"/>
      </w:tblGrid>
      <w:tr>
        <w:trPr/>
        <w:tc>
          <w:tcPr>
            <w:tcW w:w="4193"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93"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8" w:type="dxa"/>
            <w:tcBorders/>
            <w:vAlign w:val="bottom"/>
          </w:tcPr>
          <w:p>
            <w:pPr>
              <w:pStyle w:val="TableContents"/>
              <w:bidi w:val="0"/>
              <w:spacing w:before="0" w:after="283"/>
              <w:jc w:val="left"/>
              <w:rPr/>
            </w:pPr>
            <w:r>
              <w:rPr/>
              <w:t> </w:t>
            </w:r>
          </w:p>
        </w:tc>
      </w:tr>
      <w:tr>
        <w:trPr/>
        <w:tc>
          <w:tcPr>
            <w:tcW w:w="41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beginning</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152,697</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3" w:type="dxa"/>
            <w:tcBorders/>
            <w:shd w:fill="CCEEFF" w:val="clear"/>
            <w:vAlign w:val="bottom"/>
          </w:tcPr>
          <w:p>
            <w:pPr>
              <w:pStyle w:val="TableContents"/>
              <w:bidi w:val="0"/>
              <w:spacing w:before="0" w:after="283"/>
              <w:jc w:val="right"/>
              <w:rPr/>
            </w:pPr>
            <w:r>
              <w:rPr/>
              <w:t>67,023</w:t>
            </w:r>
          </w:p>
        </w:tc>
        <w:tc>
          <w:tcPr>
            <w:tcW w:w="158" w:type="dxa"/>
            <w:tcBorders/>
            <w:shd w:fill="CCEEFF" w:val="clear"/>
            <w:vAlign w:val="bottom"/>
          </w:tcPr>
          <w:p>
            <w:pPr>
              <w:pStyle w:val="TableContents"/>
              <w:bidi w:val="0"/>
              <w:spacing w:before="0" w:after="283"/>
              <w:jc w:val="left"/>
              <w:rPr/>
            </w:pPr>
            <w:r>
              <w:rPr/>
              <w:t> </w:t>
            </w:r>
          </w:p>
        </w:tc>
      </w:tr>
      <w:tr>
        <w:trPr/>
        <w:tc>
          <w:tcPr>
            <w:tcW w:w="4193"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1,923,945</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158,508</w:t>
            </w:r>
          </w:p>
        </w:tc>
        <w:tc>
          <w:tcPr>
            <w:tcW w:w="158" w:type="dxa"/>
            <w:tcBorders/>
            <w:vAlign w:val="bottom"/>
          </w:tcPr>
          <w:p>
            <w:pPr>
              <w:pStyle w:val="TableContents"/>
              <w:bidi w:val="0"/>
              <w:spacing w:before="0" w:after="283"/>
              <w:jc w:val="left"/>
              <w:rPr/>
            </w:pPr>
            <w:r>
              <w:rPr/>
              <w:t> </w:t>
            </w:r>
          </w:p>
        </w:tc>
      </w:tr>
      <w:tr>
        <w:trPr/>
        <w:tc>
          <w:tcPr>
            <w:tcW w:w="4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(84,949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(73,313</w:t>
            </w:r>
          </w:p>
        </w:tc>
        <w:tc>
          <w:tcPr>
            <w:tcW w:w="158" w:type="dxa"/>
            <w:tcBorders/>
            <w:shd w:fill="CCEEFF" w:val="clear"/>
            <w:vAlign w:val="bottom"/>
          </w:tcPr>
          <w:p>
            <w:pPr>
              <w:pStyle w:val="TableContents"/>
              <w:bidi w:val="0"/>
              <w:spacing w:before="0" w:after="283"/>
              <w:jc w:val="left"/>
              <w:rPr/>
            </w:pPr>
            <w:r>
              <w:rPr/>
              <w:t>) </w:t>
            </w:r>
          </w:p>
        </w:tc>
      </w:tr>
      <w:tr>
        <w:trPr/>
        <w:tc>
          <w:tcPr>
            <w:tcW w:w="4193" w:type="dxa"/>
            <w:tcBorders/>
          </w:tcPr>
          <w:p>
            <w:pPr>
              <w:pStyle w:val="TableContents"/>
              <w:bidi w:val="0"/>
              <w:spacing w:before="0" w:after="0"/>
              <w:jc w:val="left"/>
              <w:rPr>
                <w:rFonts w:ascii="Times New Roman" w:hAnsi="Times New Roman"/>
                <w:sz w:val="20"/>
              </w:rPr>
            </w:pPr>
            <w:r>
              <w:rPr>
                <w:rFonts w:ascii="Times New Roman" w:hAnsi="Times New Roman"/>
                <w:sz w:val="20"/>
              </w:rPr>
              <w:t>Reassessment of lease extension</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(78,902</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(75,885</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479</w:t>
            </w:r>
          </w:p>
        </w:tc>
        <w:tc>
          <w:tcPr>
            <w:tcW w:w="158" w:type="dxa"/>
            <w:tcBorders/>
            <w:shd w:fill="CCEEFF" w:val="clear"/>
            <w:vAlign w:val="bottom"/>
          </w:tcPr>
          <w:p>
            <w:pPr>
              <w:pStyle w:val="TableContents"/>
              <w:bidi w:val="0"/>
              <w:spacing w:before="0" w:after="283"/>
              <w:jc w:val="left"/>
              <w:rPr/>
            </w:pPr>
            <w:r>
              <w:rPr/>
              <w:t> </w:t>
            </w:r>
          </w:p>
        </w:tc>
      </w:tr>
      <w:tr>
        <w:trPr/>
        <w:tc>
          <w:tcPr>
            <w:tcW w:w="419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93"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ending</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41" w:type="dxa"/>
            <w:tcBorders/>
            <w:vAlign w:val="bottom"/>
          </w:tcPr>
          <w:p>
            <w:pPr>
              <w:pStyle w:val="TableContents"/>
              <w:bidi w:val="0"/>
              <w:spacing w:before="0" w:after="283"/>
              <w:jc w:val="right"/>
              <w:rPr>
                <w:b/>
              </w:rPr>
            </w:pPr>
            <w:r>
              <w:rPr>
                <w:b/>
              </w:rPr>
              <w:t>1,836,906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b/>
              </w:rPr>
            </w:pPr>
            <w:r>
              <w:rPr>
                <w:b/>
              </w:rPr>
              <w:t>$</w:t>
            </w:r>
          </w:p>
        </w:tc>
        <w:tc>
          <w:tcPr>
            <w:tcW w:w="1263" w:type="dxa"/>
            <w:tcBorders/>
            <w:vAlign w:val="bottom"/>
          </w:tcPr>
          <w:p>
            <w:pPr>
              <w:pStyle w:val="TableContents"/>
              <w:bidi w:val="0"/>
              <w:spacing w:before="0" w:after="283"/>
              <w:jc w:val="right"/>
              <w:rPr>
                <w:b/>
              </w:rPr>
            </w:pPr>
            <w:r>
              <w:rPr>
                <w:b/>
              </w:rPr>
              <w:t>152,697</w:t>
            </w:r>
          </w:p>
        </w:tc>
        <w:tc>
          <w:tcPr>
            <w:tcW w:w="158" w:type="dxa"/>
            <w:tcBorders/>
            <w:vAlign w:val="bottom"/>
          </w:tcPr>
          <w:p>
            <w:pPr>
              <w:pStyle w:val="TableContents"/>
              <w:bidi w:val="0"/>
              <w:spacing w:before="0" w:after="283"/>
              <w:jc w:val="left"/>
              <w:rPr/>
            </w:pPr>
            <w:r>
              <w:rPr/>
              <w:t> </w:t>
            </w:r>
          </w:p>
        </w:tc>
      </w:tr>
      <w:tr>
        <w:trPr/>
        <w:tc>
          <w:tcPr>
            <w:tcW w:w="419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June 30, 2026 and 2025, depreciation expense of $54,983 and $18,877 respectively, was recognized $33,869 included in research and development and with $21,114 included in general and administrative and in 2025 ($12,240 and $6,637 for research and development, and general and administrative in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2026 and 2025, depreciation expense of $84,949 and $36,745 respectively, was recognized with $48,905 included in research and development and $36,044 included in general and administrative in 2026 ($23,413 and $13,332 for research and development, and general and administrative in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PAYABLE AND ACCRUED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62"/>
        <w:gridCol w:w="281"/>
        <w:gridCol w:w="140"/>
        <w:gridCol w:w="1003"/>
        <w:gridCol w:w="60"/>
        <w:gridCol w:w="281"/>
        <w:gridCol w:w="176"/>
        <w:gridCol w:w="1288"/>
        <w:gridCol w:w="64"/>
      </w:tblGrid>
      <w:tr>
        <w:trPr/>
        <w:tc>
          <w:tcPr>
            <w:tcW w:w="4462"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6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4,977,449</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2,962,025</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1,272,478</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1,027,495</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Wages and payroll remittances</w:t>
            </w:r>
          </w:p>
        </w:tc>
        <w:tc>
          <w:tcPr>
            <w:tcW w:w="2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1,037,452</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40,171</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Employee bonus payable</w:t>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1,082,308</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1,518,256</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2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21,184</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1,606</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3" w:type="dxa"/>
            <w:tcBorders/>
            <w:vAlign w:val="bottom"/>
          </w:tcPr>
          <w:p>
            <w:pPr>
              <w:pStyle w:val="TableContents"/>
              <w:bidi w:val="0"/>
              <w:spacing w:before="0" w:after="283"/>
              <w:jc w:val="right"/>
              <w:rPr>
                <w:b/>
              </w:rPr>
            </w:pPr>
            <w:r>
              <w:rPr>
                <w:b/>
              </w:rPr>
              <w:t>8,390,871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88" w:type="dxa"/>
            <w:tcBorders/>
            <w:vAlign w:val="bottom"/>
          </w:tcPr>
          <w:p>
            <w:pPr>
              <w:pStyle w:val="TableContents"/>
              <w:bidi w:val="0"/>
              <w:spacing w:before="0" w:after="283"/>
              <w:jc w:val="right"/>
              <w:rPr>
                <w:b/>
              </w:rPr>
            </w:pPr>
            <w:r>
              <w:rPr>
                <w:b/>
              </w:rPr>
              <w:t>5,549,553</w:t>
            </w:r>
          </w:p>
        </w:tc>
        <w:tc>
          <w:tcPr>
            <w:tcW w:w="64" w:type="dxa"/>
            <w:tcBorders/>
            <w:vAlign w:val="bottom"/>
          </w:tcPr>
          <w:p>
            <w:pPr>
              <w:pStyle w:val="TableContents"/>
              <w:bidi w:val="0"/>
              <w:spacing w:before="0" w:after="283"/>
              <w:jc w:val="left"/>
              <w:rPr/>
            </w:pPr>
            <w:r>
              <w:rPr/>
              <w:t> </w:t>
            </w:r>
          </w:p>
        </w:tc>
      </w:tr>
      <w:tr>
        <w:trPr/>
        <w:tc>
          <w:tcPr>
            <w:tcW w:w="446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an operating lease agreement for its Vancouver, BC facility (approximately 3,199 square feet of office space and 6,684 square feet of laboratory space). The lease term is for 60 months, which expires on February 28, 2031. There is an option to extend the lease an additional 60 months.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an operating lease agreement for its Victoria, BC facility (of approximately 4,900 square feet of office space). As previously highlighted (Note 7 – Right-of-Use Asset), the Company extended the term of the lease for 12 months. The lease expires on November 30, 2026 with the option of the Company to extend the term for an additional 12 months which was considered in the determination of the right-of-use asset and lease liability. On April 10, 2026, the Company formally notified the landlord that it would not be renewing the lease for this property. </w:t>
      </w:r>
    </w:p>
    <w:p>
      <w:pPr>
        <w:pStyle w:val="TextBody"/>
        <w:bidi w:val="0"/>
        <w:spacing w:before="120" w:after="0"/>
        <w:jc w:val="left"/>
        <w:rPr>
          <w:rFonts w:ascii="Times New Roman" w:hAnsi="Times New Roman"/>
          <w:sz w:val="20"/>
        </w:rPr>
      </w:pPr>
      <w:r>
        <w:rPr>
          <w:rFonts w:ascii="Times New Roman" w:hAnsi="Times New Roman"/>
          <w:sz w:val="20"/>
        </w:rPr>
        <w:t xml:space="preserve">The cost components of the operating lease were as follows for the periods ended June 30, 2026 and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83"/>
        <w:gridCol w:w="202"/>
        <w:gridCol w:w="264"/>
        <w:gridCol w:w="1287"/>
        <w:gridCol w:w="275"/>
        <w:gridCol w:w="132"/>
        <w:gridCol w:w="264"/>
        <w:gridCol w:w="1287"/>
        <w:gridCol w:w="275"/>
        <w:gridCol w:w="131"/>
        <w:gridCol w:w="230"/>
        <w:gridCol w:w="1320"/>
        <w:gridCol w:w="275"/>
        <w:gridCol w:w="132"/>
        <w:gridCol w:w="264"/>
        <w:gridCol w:w="1287"/>
        <w:gridCol w:w="280"/>
      </w:tblGrid>
      <w:tr>
        <w:trPr/>
        <w:tc>
          <w:tcPr>
            <w:tcW w:w="148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8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2026</w:t>
            </w:r>
          </w:p>
        </w:tc>
        <w:tc>
          <w:tcPr>
            <w:tcW w:w="27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 June 30,</w:t>
            </w:r>
            <w:r>
              <w:rPr/>
              <w:br/>
            </w:r>
            <w:r>
              <w:rPr>
                <w:b/>
              </w:rPr>
              <w:t>2025</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27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2025</w:t>
            </w:r>
          </w:p>
        </w:tc>
        <w:tc>
          <w:tcPr>
            <w:tcW w:w="280" w:type="dxa"/>
            <w:tcBorders/>
            <w:vAlign w:val="bottom"/>
          </w:tcPr>
          <w:p>
            <w:pPr>
              <w:pStyle w:val="TableContents"/>
              <w:bidi w:val="0"/>
              <w:spacing w:before="0" w:after="283"/>
              <w:jc w:val="left"/>
              <w:rPr/>
            </w:pPr>
            <w:r>
              <w:rPr/>
              <w:t> </w:t>
            </w:r>
          </w:p>
        </w:tc>
      </w:tr>
      <w:tr>
        <w:trPr/>
        <w:tc>
          <w:tcPr>
            <w:tcW w:w="14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20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7159" w:type="dxa"/>
            <w:gridSpan w:val="13"/>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14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20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82,007</w:t>
            </w:r>
          </w:p>
        </w:tc>
        <w:tc>
          <w:tcPr>
            <w:tcW w:w="27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21,120</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123,787</w:t>
            </w:r>
          </w:p>
        </w:tc>
        <w:tc>
          <w:tcPr>
            <w:tcW w:w="27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41,488</w:t>
            </w:r>
          </w:p>
        </w:tc>
        <w:tc>
          <w:tcPr>
            <w:tcW w:w="280" w:type="dxa"/>
            <w:tcBorders/>
            <w:vAlign w:val="bottom"/>
          </w:tcPr>
          <w:p>
            <w:pPr>
              <w:pStyle w:val="TableContents"/>
              <w:bidi w:val="0"/>
              <w:spacing w:before="0" w:after="283"/>
              <w:jc w:val="left"/>
              <w:rPr/>
            </w:pPr>
            <w:r>
              <w:rPr/>
              <w:t> </w:t>
            </w:r>
          </w:p>
        </w:tc>
      </w:tr>
      <w:tr>
        <w:trPr/>
        <w:tc>
          <w:tcPr>
            <w:tcW w:w="1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20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41,274</w:t>
            </w:r>
          </w:p>
        </w:tc>
        <w:tc>
          <w:tcPr>
            <w:tcW w:w="27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18,040</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67,294</w:t>
            </w:r>
          </w:p>
        </w:tc>
        <w:tc>
          <w:tcPr>
            <w:tcW w:w="27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35,438</w:t>
            </w:r>
          </w:p>
        </w:tc>
        <w:tc>
          <w:tcPr>
            <w:tcW w:w="280" w:type="dxa"/>
            <w:tcBorders/>
            <w:shd w:fill="CCEEFF" w:val="clear"/>
            <w:vAlign w:val="bottom"/>
          </w:tcPr>
          <w:p>
            <w:pPr>
              <w:pStyle w:val="TableContents"/>
              <w:bidi w:val="0"/>
              <w:spacing w:before="0" w:after="283"/>
              <w:jc w:val="left"/>
              <w:rPr/>
            </w:pPr>
            <w:r>
              <w:rPr/>
              <w:t> </w:t>
            </w:r>
          </w:p>
        </w:tc>
      </w:tr>
      <w:tr>
        <w:trPr/>
        <w:tc>
          <w:tcPr>
            <w:tcW w:w="1483" w:type="dxa"/>
            <w:tcBorders/>
          </w:tcPr>
          <w:p>
            <w:pPr>
              <w:pStyle w:val="TableContents"/>
              <w:bidi w:val="0"/>
              <w:spacing w:before="0" w:after="0"/>
              <w:jc w:val="left"/>
              <w:rPr>
                <w:rFonts w:ascii="Times New Roman" w:hAnsi="Times New Roman"/>
                <w:b/>
                <w:sz w:val="20"/>
              </w:rPr>
            </w:pPr>
            <w:r>
              <w:rPr>
                <w:rFonts w:ascii="Times New Roman" w:hAnsi="Times New Roman"/>
                <w:b/>
                <w:sz w:val="20"/>
              </w:rPr>
              <w:t>Lease term and Discount Rate</w:t>
            </w:r>
          </w:p>
        </w:tc>
        <w:tc>
          <w:tcPr>
            <w:tcW w:w="20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14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20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9.45</w:t>
            </w:r>
          </w:p>
        </w:tc>
        <w:tc>
          <w:tcPr>
            <w:tcW w:w="27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0.42</w:t>
            </w:r>
          </w:p>
        </w:tc>
        <w:tc>
          <w:tcPr>
            <w:tcW w:w="27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9.45</w:t>
            </w:r>
          </w:p>
        </w:tc>
        <w:tc>
          <w:tcPr>
            <w:tcW w:w="27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0.42</w:t>
            </w:r>
          </w:p>
        </w:tc>
        <w:tc>
          <w:tcPr>
            <w:tcW w:w="280" w:type="dxa"/>
            <w:tcBorders/>
            <w:shd w:fill="CCEEFF" w:val="clear"/>
            <w:vAlign w:val="bottom"/>
          </w:tcPr>
          <w:p>
            <w:pPr>
              <w:pStyle w:val="TableContents"/>
              <w:bidi w:val="0"/>
              <w:spacing w:before="0" w:after="283"/>
              <w:jc w:val="left"/>
              <w:rPr/>
            </w:pPr>
            <w:r>
              <w:rPr/>
              <w:t> </w:t>
            </w:r>
          </w:p>
        </w:tc>
      </w:tr>
      <w:tr>
        <w:trPr/>
        <w:tc>
          <w:tcPr>
            <w:tcW w:w="148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20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6.49</w:t>
            </w:r>
          </w:p>
        </w:tc>
        <w:tc>
          <w:tcPr>
            <w:tcW w:w="27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9.02</w:t>
            </w:r>
          </w:p>
        </w:tc>
        <w:tc>
          <w:tcPr>
            <w:tcW w:w="27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6.49</w:t>
            </w:r>
          </w:p>
        </w:tc>
        <w:tc>
          <w:tcPr>
            <w:tcW w:w="27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9.02</w:t>
            </w:r>
          </w:p>
        </w:tc>
        <w:tc>
          <w:tcPr>
            <w:tcW w:w="280"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Variable lease costs are payments that vary because of changes in facts or circumstances and include common area maintenance and property taxes related to the premises. Variable lease costs are excluded from the calculation of minimum lease payments.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future minimum lease payments as of June 30, 2026 are as follows and assumes the 60-month extension option is exercised: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160"/>
        <w:gridCol w:w="260"/>
        <w:gridCol w:w="146"/>
        <w:gridCol w:w="1029"/>
        <w:gridCol w:w="160"/>
      </w:tblGrid>
      <w:tr>
        <w:trPr/>
        <w:tc>
          <w:tcPr>
            <w:tcW w:w="61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152,839</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241,059</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245,862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250,779</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255,819</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2031</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256,662</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1,069,425</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undiscounted future minimum lease payments</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029" w:type="dxa"/>
            <w:tcBorders/>
            <w:vAlign w:val="bottom"/>
          </w:tcPr>
          <w:p>
            <w:pPr>
              <w:pStyle w:val="TableContents"/>
              <w:bidi w:val="0"/>
              <w:spacing w:before="0" w:after="283"/>
              <w:jc w:val="right"/>
              <w:rPr>
                <w:b/>
              </w:rPr>
            </w:pPr>
            <w:r>
              <w:rPr>
                <w:b/>
              </w:rPr>
              <w:t>2,472,445</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(629,542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b/>
                <w:sz w:val="20"/>
              </w:rPr>
            </w:pPr>
            <w:r>
              <w:rPr>
                <w:rFonts w:ascii="Times New Roman" w:hAnsi="Times New Roman"/>
                <w:b/>
                <w:sz w:val="20"/>
              </w:rPr>
              <w:t>Present value of lease liabilities at June 30, 2026</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029" w:type="dxa"/>
            <w:tcBorders/>
            <w:vAlign w:val="bottom"/>
          </w:tcPr>
          <w:p>
            <w:pPr>
              <w:pStyle w:val="TableContents"/>
              <w:bidi w:val="0"/>
              <w:spacing w:before="0" w:after="283"/>
              <w:jc w:val="right"/>
              <w:rPr>
                <w:b/>
              </w:rPr>
            </w:pPr>
            <w:r>
              <w:rPr>
                <w:b/>
              </w:rPr>
              <w:t>1,842,903</w:t>
            </w:r>
          </w:p>
        </w:tc>
        <w:tc>
          <w:tcPr>
            <w:tcW w:w="160" w:type="dxa"/>
            <w:tcBorders/>
            <w:vAlign w:val="bottom"/>
          </w:tcPr>
          <w:p>
            <w:pPr>
              <w:pStyle w:val="TableContents"/>
              <w:bidi w:val="0"/>
              <w:spacing w:before="0" w:after="283"/>
              <w:jc w:val="left"/>
              <w:rPr/>
            </w:pPr>
            <w:r>
              <w:rPr/>
              <w:t> </w:t>
            </w:r>
          </w:p>
        </w:tc>
      </w:tr>
      <w:tr>
        <w:trPr/>
        <w:tc>
          <w:tcPr>
            <w:tcW w:w="61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LIABILITY (Continued)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The lease liability balance is comprised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0"/>
        <w:gridCol w:w="331"/>
        <w:gridCol w:w="140"/>
        <w:gridCol w:w="1052"/>
        <w:gridCol w:w="60"/>
        <w:gridCol w:w="331"/>
        <w:gridCol w:w="211"/>
        <w:gridCol w:w="1276"/>
        <w:gridCol w:w="64"/>
      </w:tblGrid>
      <w:tr>
        <w:trPr/>
        <w:tc>
          <w:tcPr>
            <w:tcW w:w="429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42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portion</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159,877</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78,452</w:t>
            </w:r>
          </w:p>
        </w:tc>
        <w:tc>
          <w:tcPr>
            <w:tcW w:w="64" w:type="dxa"/>
            <w:tcBorders/>
            <w:shd w:fill="CCEEFF" w:val="clear"/>
            <w:vAlign w:val="bottom"/>
          </w:tcPr>
          <w:p>
            <w:pPr>
              <w:pStyle w:val="TableContents"/>
              <w:bidi w:val="0"/>
              <w:spacing w:before="0" w:after="283"/>
              <w:jc w:val="left"/>
              <w:rPr/>
            </w:pPr>
            <w:r>
              <w:rPr/>
              <w:t> </w:t>
            </w:r>
          </w:p>
        </w:tc>
      </w:tr>
      <w:tr>
        <w:trPr/>
        <w:tc>
          <w:tcPr>
            <w:tcW w:w="4290"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portion</w:t>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1,683,026</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75,910</w:t>
            </w:r>
          </w:p>
        </w:tc>
        <w:tc>
          <w:tcPr>
            <w:tcW w:w="64" w:type="dxa"/>
            <w:tcBorders/>
            <w:vAlign w:val="bottom"/>
          </w:tcPr>
          <w:p>
            <w:pPr>
              <w:pStyle w:val="TableContents"/>
              <w:bidi w:val="0"/>
              <w:spacing w:before="0" w:after="283"/>
              <w:jc w:val="left"/>
              <w:rPr/>
            </w:pPr>
            <w:r>
              <w:rPr/>
              <w:t> </w:t>
            </w:r>
          </w:p>
        </w:tc>
      </w:tr>
      <w:tr>
        <w:trPr/>
        <w:tc>
          <w:tcPr>
            <w:tcW w:w="4290"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90" w:type="dxa"/>
            <w:tcBorders/>
            <w:shd w:fill="CCEEFF" w:val="clear"/>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2" w:type="dxa"/>
            <w:tcBorders/>
            <w:shd w:fill="CCEEFF" w:val="clear"/>
            <w:vAlign w:val="bottom"/>
          </w:tcPr>
          <w:p>
            <w:pPr>
              <w:pStyle w:val="TableContents"/>
              <w:bidi w:val="0"/>
              <w:spacing w:before="0" w:after="283"/>
              <w:jc w:val="right"/>
              <w:rPr>
                <w:b/>
              </w:rPr>
            </w:pPr>
            <w:r>
              <w:rPr>
                <w:b/>
              </w:rPr>
              <w:t>1,842,903</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154,362</w:t>
            </w:r>
          </w:p>
        </w:tc>
        <w:tc>
          <w:tcPr>
            <w:tcW w:w="64" w:type="dxa"/>
            <w:tcBorders/>
            <w:shd w:fill="CCEEFF" w:val="clear"/>
            <w:vAlign w:val="bottom"/>
          </w:tcPr>
          <w:p>
            <w:pPr>
              <w:pStyle w:val="TableContents"/>
              <w:bidi w:val="0"/>
              <w:spacing w:before="0" w:after="283"/>
              <w:jc w:val="left"/>
              <w:rPr/>
            </w:pPr>
            <w:r>
              <w:rPr/>
              <w:t> </w:t>
            </w:r>
          </w:p>
        </w:tc>
      </w:tr>
      <w:tr>
        <w:trPr/>
        <w:tc>
          <w:tcPr>
            <w:tcW w:w="4290"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subleased approximately 616 square feet office space with amounts totaling $7,087 for the three months ended June 30, 2026 ($7,086 – three months ended June 30, 2025) and was recorded as a reduction to general and administrative expenses. During the six months ended June 30, 2026, the subleased amounts totalled $14,263 ($13,919 – six months ended June 30, 2025) and were recorded as a reduction to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subleased approximately 764 square feet laboratory space with amounts totaling $8,093 for the three months ended June 30, 2026 ($nil - three months ended June 30, 2025) being recorded as a reduction to general and administrative expenses. During the six months ended June 30, 2026, the subleased amounts totalled $10,874 ($nil - six months ended June 30, 2025) and were recorded as a reduction to general and administrative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AURITEC LICENSE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Eupraxia LLC entered into an amended and restated license agreement with Auritec Pharmaceuticals Inc. (“Auritec”) on October 9, 2018 (as further amended, the “Amended and Restated License Agreement”). Under the terms of the Amended and Restated License Agreement, Auritec has granted Eupraxia LLC an exclusive license (including the right to sublicense to its affiliates and third parties) under the licensed patents held by Auritec and for all the technical information and know-how relating to the technology claimed in the licensed patents held by Auritec with respect to the use of Auritec’s “Plexis Platform” for the delivery of fluticasone in all medical fields (except for otolaryngology and the prevention, treatment and control of all diseases, disorders and conditions of the eye and its adnexa (collectively, the “Excluded Fields”)), to develop, make, have made, manufacture, use, commercialize, sell, sub-license, offer for sale, import, and have imported products for the delivery of fluticasone drug products using the Plexis Platform in all medical fields except the Excluded Fields (“Licensed Products”).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Amended and Restated License Agreement, Eupraxia LLC has paid $5,000,000 to Auritec (the “Upfront Fee”). In addition, Eupraxia LLC has agreed to pay Auritec up to $30,000,000 upon achievement of certain regulatory and commercial milestones related to products licensed under the Amended and Restated License Agreement (“Licensed Products”) as well as a royalty of 4% of net sales of Licensed Products by Eupraxia LLC or its affiliates, subject to certain reductions.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AURITEC LICENSE AGREEMENT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remaining milestone payment schedule. During the year ended December 31, 2024, the Company paid $5,000,000 to Auritec upon successful completion of the Phase 2b study. No further milestones have been completed. The Company’s EP-104GI program would meet the definition of a Non-OA Indication as referenced in the Milestone Events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18"/>
        <w:gridCol w:w="460"/>
        <w:gridCol w:w="220"/>
        <w:gridCol w:w="1795"/>
        <w:gridCol w:w="62"/>
      </w:tblGrid>
      <w:tr>
        <w:trPr/>
        <w:tc>
          <w:tcPr>
            <w:tcW w:w="5218"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Milestone Event</w:t>
            </w:r>
          </w:p>
        </w:tc>
        <w:tc>
          <w:tcPr>
            <w:tcW w:w="460"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Milestone Payment</w:t>
            </w:r>
          </w:p>
        </w:tc>
        <w:tc>
          <w:tcPr>
            <w:tcW w:w="62" w:type="dxa"/>
            <w:tcBorders/>
            <w:vAlign w:val="bottom"/>
          </w:tcPr>
          <w:p>
            <w:pPr>
              <w:pStyle w:val="TableContents"/>
              <w:bidi w:val="0"/>
              <w:spacing w:before="0" w:after="283"/>
              <w:jc w:val="left"/>
              <w:rPr/>
            </w:pPr>
            <w:r>
              <w:rPr/>
              <w:t> </w:t>
            </w:r>
          </w:p>
        </w:tc>
      </w:tr>
      <w:tr>
        <w:trPr/>
        <w:tc>
          <w:tcPr>
            <w:tcW w:w="5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OA Regulatory Approval</w:t>
            </w:r>
          </w:p>
        </w:tc>
        <w:tc>
          <w:tcPr>
            <w:tcW w:w="4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5218" w:type="dxa"/>
            <w:tcBorders/>
          </w:tcPr>
          <w:p>
            <w:pPr>
              <w:pStyle w:val="TableContents"/>
              <w:bidi w:val="0"/>
              <w:spacing w:before="0" w:after="0"/>
              <w:jc w:val="left"/>
              <w:rPr>
                <w:rFonts w:ascii="Times New Roman" w:hAnsi="Times New Roman"/>
                <w:sz w:val="20"/>
              </w:rPr>
            </w:pPr>
            <w:r>
              <w:rPr>
                <w:rFonts w:ascii="Times New Roman" w:hAnsi="Times New Roman"/>
                <w:sz w:val="20"/>
              </w:rPr>
              <w:t>Second OA Regulatory Approval</w:t>
            </w:r>
          </w:p>
          <w:p>
            <w:pPr>
              <w:pStyle w:val="TableContents"/>
              <w:bidi w:val="0"/>
              <w:spacing w:before="0" w:after="20"/>
              <w:jc w:val="left"/>
              <w:rPr>
                <w:rFonts w:ascii="Times New Roman" w:hAnsi="Times New Roman"/>
                <w:sz w:val="20"/>
              </w:rPr>
            </w:pPr>
            <w:r>
              <w:rPr>
                <w:rFonts w:ascii="Times New Roman" w:hAnsi="Times New Roman"/>
                <w:sz w:val="20"/>
              </w:rPr>
              <w:t>Non-OA Indication Regulatory Approval</w:t>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jc w:val="right"/>
              <w:rPr/>
            </w:pPr>
            <w:r>
              <w:rPr/>
              <w:t>5,000,000</w:t>
            </w:r>
          </w:p>
          <w:p>
            <w:pPr>
              <w:pStyle w:val="TableContents"/>
              <w:bidi w:val="0"/>
              <w:spacing w:before="0" w:after="20"/>
              <w:jc w:val="right"/>
              <w:rPr>
                <w:rFonts w:ascii="Times New Roman" w:hAnsi="Times New Roman"/>
                <w:sz w:val="20"/>
              </w:rPr>
            </w:pPr>
            <w:r>
              <w:rPr>
                <w:rFonts w:ascii="Times New Roman" w:hAnsi="Times New Roman"/>
                <w:sz w:val="20"/>
              </w:rPr>
              <w:t>10,000,000</w:t>
            </w:r>
          </w:p>
        </w:tc>
        <w:tc>
          <w:tcPr>
            <w:tcW w:w="62"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5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calendar year in which aggregate Net Sales by Eupraxia LLC, its affiliates and sublicenses exceed $500,000,000</w:t>
            </w:r>
          </w:p>
        </w:tc>
        <w:tc>
          <w:tcPr>
            <w:tcW w:w="4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5218"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18" w:type="dxa"/>
            <w:tcBorders/>
          </w:tcPr>
          <w:p>
            <w:pPr>
              <w:pStyle w:val="TableContents"/>
              <w:bidi w:val="0"/>
              <w:spacing w:before="0" w:after="0"/>
              <w:jc w:val="left"/>
              <w:rPr>
                <w:rFonts w:ascii="Times New Roman" w:hAnsi="Times New Roman"/>
                <w:b/>
                <w:sz w:val="20"/>
              </w:rPr>
            </w:pPr>
            <w:r>
              <w:rPr>
                <w:rFonts w:ascii="Times New Roman" w:hAnsi="Times New Roman"/>
                <w:b/>
                <w:sz w:val="20"/>
              </w:rPr>
              <w:t>Maximum amount payable</w:t>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795" w:type="dxa"/>
            <w:tcBorders/>
            <w:vAlign w:val="bottom"/>
          </w:tcPr>
          <w:p>
            <w:pPr>
              <w:pStyle w:val="TableContents"/>
              <w:bidi w:val="0"/>
              <w:spacing w:before="0" w:after="283"/>
              <w:jc w:val="right"/>
              <w:rPr>
                <w:b/>
              </w:rPr>
            </w:pPr>
            <w:r>
              <w:rPr>
                <w:b/>
              </w:rPr>
              <w:t>25,000,000</w:t>
            </w:r>
          </w:p>
        </w:tc>
        <w:tc>
          <w:tcPr>
            <w:tcW w:w="62" w:type="dxa"/>
            <w:tcBorders/>
            <w:vAlign w:val="bottom"/>
          </w:tcPr>
          <w:p>
            <w:pPr>
              <w:pStyle w:val="TableContents"/>
              <w:bidi w:val="0"/>
              <w:spacing w:before="0" w:after="283"/>
              <w:jc w:val="left"/>
              <w:rPr/>
            </w:pPr>
            <w:r>
              <w:rPr/>
              <w:t> </w:t>
            </w:r>
          </w:p>
        </w:tc>
      </w:tr>
      <w:tr>
        <w:trPr/>
        <w:tc>
          <w:tcPr>
            <w:tcW w:w="5218"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Eupraxia LLC also agreed to pay to Auritec 20% of sublicensing royalties or other consideration based on net sales of Licensed Products. Eupraxia LLC further agreed to pay Auritec a percentage of Non-Royalty Monetization Revenue (as defined in the Amended and Restated License Agreement), which includes payments received for a sale of Eupraxia LLC or sale or sublicense of a Licensed Product, which percentage ranges from 10% to 30% depending on the development stage of the most-advanced Licensed Product, up to a maximum of $100,000,000. The following table summarizes the Non-Royalty Monetization Revenue percentage schedule: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0"/>
        <w:gridCol w:w="1094"/>
        <w:gridCol w:w="518"/>
        <w:gridCol w:w="2247"/>
        <w:gridCol w:w="276"/>
      </w:tblGrid>
      <w:tr>
        <w:trPr/>
        <w:tc>
          <w:tcPr>
            <w:tcW w:w="3620" w:type="dxa"/>
            <w:tcBorders/>
            <w:vAlign w:val="center"/>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Execution</w:t>
            </w:r>
          </w:p>
        </w:tc>
        <w:tc>
          <w:tcPr>
            <w:tcW w:w="1094" w:type="dxa"/>
            <w:tcBorders/>
            <w:vAlign w:val="bottom"/>
          </w:tcPr>
          <w:p>
            <w:pPr>
              <w:pStyle w:val="TableContents"/>
              <w:bidi w:val="0"/>
              <w:spacing w:before="0" w:after="283"/>
              <w:jc w:val="left"/>
              <w:rPr/>
            </w:pPr>
            <w:r>
              <w:rPr/>
              <w:t>  </w:t>
            </w:r>
          </w:p>
        </w:tc>
        <w:tc>
          <w:tcPr>
            <w:tcW w:w="27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Non-Royalty</w:t>
              <w:br/>
              <w:t>Monetization Revenue</w:t>
            </w:r>
          </w:p>
        </w:tc>
        <w:tc>
          <w:tcPr>
            <w:tcW w:w="276"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to Successful Completion of a Phase 2b Study</w:t>
            </w:r>
          </w:p>
        </w:tc>
        <w:tc>
          <w:tcPr>
            <w:tcW w:w="109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30</w:t>
            </w:r>
          </w:p>
        </w:tc>
        <w:tc>
          <w:tcPr>
            <w:tcW w:w="276"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2b Study but prior to Successful Completion of a Phase 3 Study</w:t>
            </w:r>
          </w:p>
        </w:tc>
        <w:tc>
          <w:tcPr>
            <w:tcW w:w="109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3 Study but prior to Regulatory Approval of a Product in the Eupraxia Field from FDA in the United States</w:t>
            </w:r>
          </w:p>
        </w:tc>
        <w:tc>
          <w:tcPr>
            <w:tcW w:w="109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15</w:t>
            </w:r>
          </w:p>
        </w:tc>
        <w:tc>
          <w:tcPr>
            <w:tcW w:w="276"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After Regulatory Approval of a Product in the Eupraxia Field from FDA in the United States</w:t>
            </w:r>
          </w:p>
        </w:tc>
        <w:tc>
          <w:tcPr>
            <w:tcW w:w="109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Either party may terminate the Amended and Restated License Agreement in the event of the other party’s bankruptcy, liquidation, or dissolution. Auritec may also terminate upon a material breach of the Amended and Restated License Agreement by Eupraxia LLC that is not cured within 60 days (15 days in the case of a payment breach). Further, if Eupraxia LLC directly or indirectly challenges any claim in any Auritec patent licensed under the Amended and Restated License Agreement, or assist a third party in doing so, Auritec may immediately terminate the Amended and Restated License Agreement. If Auritec directly or indirectly challenges any Eupraxia LLC patent contemplated in the Amended and Restated License Agreement other than as reasonably required to defend Auritec patents as a basis for such challenge, or assists a third party in doing so, Eupraxia LLC may immediately terminate the Amended and Restated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0"/>
        <w:gridCol w:w="8887"/>
      </w:tblGrid>
      <w:tr>
        <w:trPr/>
        <w:tc>
          <w:tcPr>
            <w:tcW w:w="918" w:type="dxa"/>
            <w:tcBorders/>
            <w:vAlign w:val="center"/>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w:t>
            </w:r>
          </w:p>
        </w:tc>
        <w:tc>
          <w:tcPr>
            <w:tcW w:w="88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unlimited number of Common shares, with no par value, with one vote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0"/>
        <w:gridCol w:w="8887"/>
      </w:tblGrid>
      <w:tr>
        <w:trPr/>
        <w:tc>
          <w:tcPr>
            <w:tcW w:w="918" w:type="dxa"/>
            <w:tcBorders/>
            <w:vAlign w:val="center"/>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w:t>
            </w:r>
          </w:p>
        </w:tc>
        <w:tc>
          <w:tcPr>
            <w:tcW w:w="88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unlimited number of Preferred shares, with no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(Common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Capital transactions (Common shares) which took place during the six months ended June 30, 2025,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5"/>
        <w:gridCol w:w="8884"/>
      </w:tblGrid>
      <w:tr>
        <w:trPr/>
        <w:tc>
          <w:tcPr>
            <w:tcW w:w="916"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i)</w:t>
            </w:r>
          </w:p>
        </w:tc>
        <w:tc>
          <w:tcPr>
            <w:tcW w:w="88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30, 2025, 300,000 common shares were issued on the exercise of warrants for gross proceeds of $633,861. The weighted average share price during the period in which these warrants were exercised was CAD$5.89. On exercise, $63,386 was transferred from additional paid-in capital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31, 2025, 17,965 common shares were issued on the exercise of options for gross proceeds of $35,840. The weighted average share price during the period in which these options were exercised was CAD$5.31. On exercise, $23,629 was transferred from additional paid-in capital to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Capital transactions (Common shares) which took place during the six months ended June 30, 2026,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30, 2026, 187,651 common shares were issued on the exercise of options for gross proceeds of $590,376. The weighted average share price during the period in which these options were exercised was CAD$4.44. On exercise, $401,277 was transferred from additional paid-in capital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30, 2026, 5,677,608 common shares were issued on the exercise of warrants for gross proceeds of $16,834,083. The weighted average share price during the period in which these warrants were exercised was CAD$4.07. On exercise, $1,349,179 was transferred from additional paid-in capital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20, 2026, the Company closed an overnight marketed public offering (the “Offering”). Pursuant to the Offering, the Company issued 7,607,145 common shares at a price of $7.00 and pre-funded warrants to purchase up to 1,428,571 common shares at price of price of $6.99999 for total gross proceeds of $63,249,998.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consideration for the services rendered by the Underwriter in connection with the Offering, the Company paid the Underwriters a cash commission of $3,795,001 which is equal to $0.42 per share or pre-funded warrant issued under the Offering. An additional $200,000 in legal and agents’ expenses were also paid to the Underwriters. The Company incurred an additional $620,102 in share issuance costs associated with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(Preferred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31, 2024, the Company issued convertible preferred shares in a non-brokered private placement. Pursuant to the Convertible Preferred Share Offering, the Company issued 8,905,638 convertible preferred shares (“Preferred Shares”) at a price of CAD$5.00 for aggregate gross proceeds of $31,997,837 (CAD$44,528,190). </w:t>
      </w:r>
    </w:p>
    <w:p>
      <w:pPr>
        <w:pStyle w:val="TextBody"/>
        <w:bidi w:val="0"/>
        <w:spacing w:before="120" w:after="0"/>
        <w:jc w:val="left"/>
        <w:rPr>
          <w:rFonts w:ascii="Times New Roman" w:hAnsi="Times New Roman"/>
          <w:sz w:val="20"/>
        </w:rPr>
      </w:pPr>
      <w:r>
        <w:rPr>
          <w:rFonts w:ascii="Times New Roman" w:hAnsi="Times New Roman"/>
          <w:sz w:val="20"/>
        </w:rPr>
        <w:t xml:space="preserve">The Company paid $242,116 (CAD$336,928) in legal expenses and an additional $50,502 ($70,279) in listing fees were paid in association with the Preferred Share Offering. Each Preferred Share is convertible at the option of the holder at any time into one common share without additional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Shares will also mandatorily convert into common shares on a one-to-one basis, without additional consideration, upon the earliest of: (i) the common shares of the Company trade at a price of $15.00 per common share on the Toronto Stock Exchange or the Nasdaq Stock Market LLC based on an average daily trading volume of at least 50,000 common shares during the rolling six-month period, or (ii) the holders of the Preferred Shares representing 75% of the outstanding Preferred Shares vote or consent to convert all outstanding Preferred Shares, in the event a liquidating event such as an amalgamation, arrangement, merger, reorganization or similar transaction occurs, provided that the conversion ratio will not be adjusted unless the Company receives all necessary TSX and shareholder approvals.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Shares have a redemption feature that is subject to the occurrence of certain events, all of which are in the control of the Company. Accordingly, the Preferred Shares are classified as permanent equity.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Shares will not initially be entitled to any dividends. Following the third anniversary of closing of the Private Placement, and subject to shareholder approval, any unconverted Preferred Shares will be entitled to a quarterly dividend equal to 1.5% (6% annually) of the original issue price, payable in additional Preferred Shares (the “PIK Preferred Shares”). If shareholder approval for the PIK Preferred Shares is not obtained by the third anniversary of closing, the quarterly dividends will be paid in cash at a rate of 2% (8% annually). No dividends will be payable on Common Shares while any Preferred Shares remain issued and outstanding. The Preferred Shares were not issued at a discount, so the impact of this feature is limited to the amounts allocable to common shareholders in calculating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June 30, 2026, 60,000 preferred shares were converted into an equal number of common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2025 Omnibus Incentive Plan (the “Omnibus Plan”), initially approved by the Board of Directors on February 17, 2025 (later amended on April 25, 2025) was ratified by Shareholders on June 2, 2025. The Omnibus Plan provides for the grant of options, stock appreciation rights, restricted stock, restricted stock units, deferred stock units, performance awards, other stock-based awards and cash-based awards (each an “Award” and collectively, the “Awards”) at the discretion of the Board of Directors. The number of Common Shares available for issuance under the Omnibus Plan is a rolling maximum number equal to 18.5% of the issued and outstanding Common Shares. The Omnibus Plan is considered to be an “evergreen” plan as Common Shares covered by Awards which have been exercised or settled, as applicable, will be available for subsequent grant under the Omnibus Plan and the number of Awards that may be granted under the Omnibus Plan increases if the total number of issued and outstanding Common Shares increases.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Omnibus Plan have lives of up to ten years from the date of grant. The vesting schedule of all granted options is determined at the discretion of the Board. Unless otherwise determined by the Board, in its sole discretion, all grants of options will vest over a three-year period, with the first twenty-five percent (25%) of the Options vesting on the date of grant, and the remaining options vesting over the following thirty-six-month period in three equal instalments on an annual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Re-Pricing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25, 2025, the Board approved (with Shareholders ratifying on June 2, 2025) the repricing of certain options totaling 258,450 (vested and unvested) with exercise prices ranging from CAD$6.75 to CAD$8.00 were repriced to CAD$5.05. All other terms of these stock option grants were unchanged. As a result of this repricing, the Company recognized additional share-based payments of $112,804 during the three and six months ended June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option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37"/>
        <w:gridCol w:w="459"/>
        <w:gridCol w:w="60"/>
        <w:gridCol w:w="1000"/>
        <w:gridCol w:w="155"/>
        <w:gridCol w:w="424"/>
        <w:gridCol w:w="547"/>
        <w:gridCol w:w="1711"/>
        <w:gridCol w:w="62"/>
      </w:tblGrid>
      <w:tr>
        <w:trPr/>
        <w:tc>
          <w:tcPr>
            <w:tcW w:w="3337"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337"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225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r>
            <w:r>
              <w:rPr/>
              <w:br/>
            </w:r>
            <w:r>
              <w:rPr>
                <w:b/>
              </w:rPr>
              <w:t>exercise price (CAD$)</w:t>
            </w:r>
          </w:p>
        </w:tc>
        <w:tc>
          <w:tcPr>
            <w:tcW w:w="62" w:type="dxa"/>
            <w:tcBorders/>
            <w:vAlign w:val="bottom"/>
          </w:tcPr>
          <w:p>
            <w:pPr>
              <w:pStyle w:val="TableContents"/>
              <w:bidi w:val="0"/>
              <w:spacing w:before="0" w:after="283"/>
              <w:jc w:val="left"/>
              <w:rPr/>
            </w:pPr>
            <w:r>
              <w:rPr/>
              <w:t> </w:t>
            </w:r>
          </w:p>
        </w:tc>
      </w:tr>
      <w:tr>
        <w:trPr/>
        <w:tc>
          <w:tcPr>
            <w:tcW w:w="33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2024</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5,307,870</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b/>
              </w:rPr>
            </w:pPr>
            <w:r>
              <w:rPr>
                <w:b/>
              </w:rPr>
              <w:t>$</w:t>
            </w:r>
          </w:p>
        </w:tc>
        <w:tc>
          <w:tcPr>
            <w:tcW w:w="1711" w:type="dxa"/>
            <w:tcBorders/>
            <w:shd w:fill="CCEEFF" w:val="clear"/>
            <w:vAlign w:val="bottom"/>
          </w:tcPr>
          <w:p>
            <w:pPr>
              <w:pStyle w:val="TableContents"/>
              <w:bidi w:val="0"/>
              <w:spacing w:before="0" w:after="283"/>
              <w:jc w:val="right"/>
              <w:rPr>
                <w:b/>
              </w:rPr>
            </w:pPr>
            <w:r>
              <w:rPr>
                <w:b/>
              </w:rPr>
              <w:t>5.50</w:t>
            </w:r>
          </w:p>
        </w:tc>
        <w:tc>
          <w:tcPr>
            <w:tcW w:w="62" w:type="dxa"/>
            <w:tcBorders/>
            <w:shd w:fill="CCEEFF" w:val="clear"/>
            <w:vAlign w:val="bottom"/>
          </w:tcPr>
          <w:p>
            <w:pPr>
              <w:pStyle w:val="TableContents"/>
              <w:bidi w:val="0"/>
              <w:spacing w:before="0" w:after="283"/>
              <w:jc w:val="left"/>
              <w:rPr/>
            </w:pPr>
            <w:r>
              <w:rPr/>
              <w:t> </w:t>
            </w:r>
          </w:p>
        </w:tc>
      </w:tr>
      <w:tr>
        <w:trPr/>
        <w:tc>
          <w:tcPr>
            <w:tcW w:w="3337"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(186,340</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4.78</w:t>
            </w:r>
          </w:p>
        </w:tc>
        <w:tc>
          <w:tcPr>
            <w:tcW w:w="62" w:type="dxa"/>
            <w:tcBorders/>
            <w:vAlign w:val="bottom"/>
          </w:tcPr>
          <w:p>
            <w:pPr>
              <w:pStyle w:val="TableContents"/>
              <w:bidi w:val="0"/>
              <w:spacing w:before="0" w:after="283"/>
              <w:jc w:val="left"/>
              <w:rPr/>
            </w:pPr>
            <w:r>
              <w:rPr/>
              <w:t> </w:t>
            </w:r>
          </w:p>
        </w:tc>
      </w:tr>
      <w:tr>
        <w:trPr/>
        <w:tc>
          <w:tcPr>
            <w:tcW w:w="3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(763,375</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6.93</w:t>
            </w:r>
          </w:p>
        </w:tc>
        <w:tc>
          <w:tcPr>
            <w:tcW w:w="62" w:type="dxa"/>
            <w:tcBorders/>
            <w:shd w:fill="CCEEFF" w:val="clear"/>
            <w:vAlign w:val="bottom"/>
          </w:tcPr>
          <w:p>
            <w:pPr>
              <w:pStyle w:val="TableContents"/>
              <w:bidi w:val="0"/>
              <w:spacing w:before="0" w:after="283"/>
              <w:jc w:val="left"/>
              <w:rPr/>
            </w:pPr>
            <w:r>
              <w:rPr/>
              <w:t> </w:t>
            </w:r>
          </w:p>
        </w:tc>
      </w:tr>
      <w:tr>
        <w:trPr/>
        <w:tc>
          <w:tcPr>
            <w:tcW w:w="3337"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(238,750</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8.00</w:t>
            </w:r>
          </w:p>
        </w:tc>
        <w:tc>
          <w:tcPr>
            <w:tcW w:w="62" w:type="dxa"/>
            <w:tcBorders/>
            <w:vAlign w:val="bottom"/>
          </w:tcPr>
          <w:p>
            <w:pPr>
              <w:pStyle w:val="TableContents"/>
              <w:bidi w:val="0"/>
              <w:spacing w:before="0" w:after="283"/>
              <w:jc w:val="left"/>
              <w:rPr/>
            </w:pPr>
            <w:r>
              <w:rPr/>
              <w:t> </w:t>
            </w:r>
          </w:p>
        </w:tc>
      </w:tr>
      <w:tr>
        <w:trPr/>
        <w:tc>
          <w:tcPr>
            <w:tcW w:w="3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3,343,200</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7.13</w:t>
            </w:r>
          </w:p>
        </w:tc>
        <w:tc>
          <w:tcPr>
            <w:tcW w:w="62" w:type="dxa"/>
            <w:tcBorders/>
            <w:shd w:fill="CCEEFF" w:val="clear"/>
            <w:vAlign w:val="bottom"/>
          </w:tcPr>
          <w:p>
            <w:pPr>
              <w:pStyle w:val="TableContents"/>
              <w:bidi w:val="0"/>
              <w:spacing w:before="0" w:after="283"/>
              <w:jc w:val="left"/>
              <w:rPr/>
            </w:pPr>
            <w:r>
              <w:rPr/>
              <w:t> </w:t>
            </w:r>
          </w:p>
        </w:tc>
      </w:tr>
      <w:tr>
        <w:trPr/>
        <w:tc>
          <w:tcPr>
            <w:tcW w:w="333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3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7,462,605</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b/>
              </w:rPr>
            </w:pPr>
            <w:r>
              <w:rPr>
                <w:b/>
              </w:rPr>
              <w:t>$</w:t>
            </w:r>
          </w:p>
        </w:tc>
        <w:tc>
          <w:tcPr>
            <w:tcW w:w="1711" w:type="dxa"/>
            <w:tcBorders/>
            <w:vAlign w:val="bottom"/>
          </w:tcPr>
          <w:p>
            <w:pPr>
              <w:pStyle w:val="TableContents"/>
              <w:bidi w:val="0"/>
              <w:spacing w:before="0" w:after="283"/>
              <w:jc w:val="right"/>
              <w:rPr>
                <w:b/>
              </w:rPr>
            </w:pPr>
            <w:r>
              <w:rPr>
                <w:b/>
              </w:rPr>
              <w:t>5.93</w:t>
            </w:r>
          </w:p>
        </w:tc>
        <w:tc>
          <w:tcPr>
            <w:tcW w:w="62" w:type="dxa"/>
            <w:tcBorders/>
            <w:vAlign w:val="bottom"/>
          </w:tcPr>
          <w:p>
            <w:pPr>
              <w:pStyle w:val="TableContents"/>
              <w:bidi w:val="0"/>
              <w:spacing w:before="0" w:after="283"/>
              <w:jc w:val="left"/>
              <w:rPr/>
            </w:pPr>
            <w:r>
              <w:rPr/>
              <w:t> </w:t>
            </w:r>
          </w:p>
        </w:tc>
      </w:tr>
      <w:tr>
        <w:trPr/>
        <w:tc>
          <w:tcPr>
            <w:tcW w:w="33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(187,651</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4.44</w:t>
            </w:r>
          </w:p>
        </w:tc>
        <w:tc>
          <w:tcPr>
            <w:tcW w:w="62" w:type="dxa"/>
            <w:tcBorders/>
            <w:shd w:fill="CCEEFF" w:val="clear"/>
            <w:vAlign w:val="bottom"/>
          </w:tcPr>
          <w:p>
            <w:pPr>
              <w:pStyle w:val="TableContents"/>
              <w:bidi w:val="0"/>
              <w:spacing w:before="0" w:after="283"/>
              <w:jc w:val="left"/>
              <w:rPr/>
            </w:pPr>
            <w:r>
              <w:rPr/>
              <w:t> </w:t>
            </w:r>
          </w:p>
        </w:tc>
      </w:tr>
      <w:tr>
        <w:trPr/>
        <w:tc>
          <w:tcPr>
            <w:tcW w:w="3337"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(78,362</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6.12</w:t>
            </w:r>
          </w:p>
        </w:tc>
        <w:tc>
          <w:tcPr>
            <w:tcW w:w="62" w:type="dxa"/>
            <w:tcBorders/>
            <w:vAlign w:val="bottom"/>
          </w:tcPr>
          <w:p>
            <w:pPr>
              <w:pStyle w:val="TableContents"/>
              <w:bidi w:val="0"/>
              <w:spacing w:before="0" w:after="283"/>
              <w:jc w:val="left"/>
              <w:rPr/>
            </w:pPr>
            <w:r>
              <w:rPr/>
              <w:t> </w:t>
            </w:r>
          </w:p>
        </w:tc>
      </w:tr>
      <w:tr>
        <w:trPr/>
        <w:tc>
          <w:tcPr>
            <w:tcW w:w="33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59" w:type="dxa"/>
            <w:tcBorders/>
            <w:shd w:fill="CCEEFF" w:val="cle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2" w:space="0" w:color="000000"/>
            </w:tcBorders>
            <w:shd w:fill="CCEEFF" w:val="clear"/>
            <w:tcMar>
              <w:bottom w:w="28" w:type="dxa"/>
            </w:tcMar>
            <w:vAlign w:val="bottom"/>
          </w:tcPr>
          <w:p>
            <w:pPr>
              <w:pStyle w:val="TableContents"/>
              <w:bidi w:val="0"/>
              <w:spacing w:before="0" w:after="283"/>
              <w:jc w:val="right"/>
              <w:rPr/>
            </w:pPr>
            <w:r>
              <w:rPr/>
              <w:t>964,850</w:t>
            </w:r>
          </w:p>
        </w:tc>
        <w:tc>
          <w:tcPr>
            <w:tcW w:w="15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11" w:type="dxa"/>
            <w:tcBorders>
              <w:bottom w:val="single" w:sz="2" w:space="0" w:color="000000"/>
            </w:tcBorders>
            <w:shd w:fill="CCEEFF" w:val="clear"/>
            <w:tcMar>
              <w:bottom w:w="28" w:type="dxa"/>
            </w:tcMar>
            <w:vAlign w:val="bottom"/>
          </w:tcPr>
          <w:p>
            <w:pPr>
              <w:pStyle w:val="TableContents"/>
              <w:bidi w:val="0"/>
              <w:spacing w:before="0" w:after="283"/>
              <w:jc w:val="right"/>
              <w:rPr/>
            </w:pPr>
            <w:r>
              <w:rPr/>
              <w:t>8.73</w:t>
            </w:r>
          </w:p>
        </w:tc>
        <w:tc>
          <w:tcPr>
            <w:tcW w:w="62" w:type="dxa"/>
            <w:tcBorders/>
            <w:shd w:fill="CCEEFF" w:val="clear"/>
            <w:vAlign w:val="bottom"/>
          </w:tcPr>
          <w:p>
            <w:pPr>
              <w:pStyle w:val="TableContents"/>
              <w:bidi w:val="0"/>
              <w:spacing w:before="0" w:after="283"/>
              <w:jc w:val="left"/>
              <w:rPr/>
            </w:pPr>
            <w:r>
              <w:rPr/>
              <w:t> </w:t>
            </w:r>
          </w:p>
        </w:tc>
      </w:tr>
      <w:tr>
        <w:trPr/>
        <w:tc>
          <w:tcPr>
            <w:tcW w:w="333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337"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June 30, 2026</w:t>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8,161,442</w:t>
            </w:r>
          </w:p>
        </w:tc>
        <w:tc>
          <w:tcPr>
            <w:tcW w:w="15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b/>
              </w:rPr>
            </w:pPr>
            <w:r>
              <w:rPr>
                <w:b/>
              </w:rPr>
              <w:t>$</w:t>
            </w:r>
          </w:p>
        </w:tc>
        <w:tc>
          <w:tcPr>
            <w:tcW w:w="1711" w:type="dxa"/>
            <w:tcBorders/>
            <w:vAlign w:val="bottom"/>
          </w:tcPr>
          <w:p>
            <w:pPr>
              <w:pStyle w:val="TableContents"/>
              <w:bidi w:val="0"/>
              <w:spacing w:before="0" w:after="283"/>
              <w:jc w:val="right"/>
              <w:rPr>
                <w:b/>
              </w:rPr>
            </w:pPr>
            <w:r>
              <w:rPr>
                <w:b/>
              </w:rPr>
              <w:t>6.30</w:t>
            </w:r>
          </w:p>
        </w:tc>
        <w:tc>
          <w:tcPr>
            <w:tcW w:w="62" w:type="dxa"/>
            <w:tcBorders/>
            <w:vAlign w:val="bottom"/>
          </w:tcPr>
          <w:p>
            <w:pPr>
              <w:pStyle w:val="TableContents"/>
              <w:bidi w:val="0"/>
              <w:spacing w:before="0" w:after="283"/>
              <w:jc w:val="left"/>
              <w:rPr/>
            </w:pPr>
            <w:r>
              <w:rPr/>
              <w:t> </w:t>
            </w:r>
          </w:p>
        </w:tc>
      </w:tr>
      <w:tr>
        <w:trPr/>
        <w:tc>
          <w:tcPr>
            <w:tcW w:w="3337"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547" w:type="dxa"/>
            <w:tcBorders/>
            <w:vAlign w:val="bottom"/>
          </w:tcPr>
          <w:p>
            <w:pPr>
              <w:pStyle w:val="TableContents"/>
              <w:pBdr>
                <w:top w:val="double" w:sz="6" w:space="1" w:color="000000"/>
              </w:pBdr>
              <w:bidi w:val="0"/>
              <w:spacing w:before="0" w:after="0"/>
              <w:jc w:val="left"/>
              <w:rPr/>
            </w:pPr>
            <w:r>
              <w:rPr/>
              <w:t> </w:t>
            </w:r>
          </w:p>
        </w:tc>
        <w:tc>
          <w:tcPr>
            <w:tcW w:w="171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Share-based payments for the three months ended June 30, 2026, was $1,830,989 (2025 - $1,117,248) (See Note 12 – Research &amp; Development Expenses &amp; Note 13 – General &amp; Administrative Expenses and for breakdown by function). </w:t>
      </w:r>
    </w:p>
    <w:p>
      <w:pPr>
        <w:pStyle w:val="TextBody"/>
        <w:bidi w:val="0"/>
        <w:spacing w:before="120" w:after="0"/>
        <w:jc w:val="left"/>
        <w:rPr>
          <w:rFonts w:ascii="Times New Roman" w:hAnsi="Times New Roman"/>
          <w:sz w:val="20"/>
        </w:rPr>
      </w:pPr>
      <w:r>
        <w:rPr>
          <w:rFonts w:ascii="Times New Roman" w:hAnsi="Times New Roman"/>
          <w:sz w:val="20"/>
        </w:rPr>
        <w:t xml:space="preserve">Share-based payments for the six months ended June 30, 2026, was $3,117,155 (2025 - $2,610,655) (See Note 12 – Research &amp; Development Expenses &amp; Note 13 – General &amp; Administrative Expenses and for breakdown by function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the following options were outstanding: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5"/>
        <w:gridCol w:w="187"/>
        <w:gridCol w:w="73"/>
        <w:gridCol w:w="1246"/>
        <w:gridCol w:w="60"/>
        <w:gridCol w:w="187"/>
        <w:gridCol w:w="68"/>
        <w:gridCol w:w="1167"/>
        <w:gridCol w:w="60"/>
        <w:gridCol w:w="186"/>
        <w:gridCol w:w="341"/>
        <w:gridCol w:w="1097"/>
        <w:gridCol w:w="60"/>
        <w:gridCol w:w="187"/>
        <w:gridCol w:w="60"/>
        <w:gridCol w:w="1464"/>
        <w:gridCol w:w="60"/>
        <w:gridCol w:w="187"/>
        <w:gridCol w:w="150"/>
        <w:gridCol w:w="1121"/>
        <w:gridCol w:w="69"/>
      </w:tblGrid>
      <w:tr>
        <w:trPr/>
        <w:tc>
          <w:tcPr>
            <w:tcW w:w="217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1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Grant Date</w:t>
            </w:r>
          </w:p>
        </w:tc>
        <w:tc>
          <w:tcPr>
            <w:tcW w:w="187"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br/>
              <w:t>Outstanding</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br/>
              <w:t>Exercisable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pPr>
            <w:r>
              <w:rPr>
                <w:b/>
              </w:rPr>
              <w:t>Exercise</w:t>
            </w:r>
            <w:r>
              <w:rPr/>
              <w:br/>
            </w:r>
            <w:r>
              <w:rPr>
                <w:b/>
              </w:rPr>
              <w:t>Price (CAD$)</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Expiry Date</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Contractual</w:t>
              <w:br/>
              <w:t>Life (years)</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5, 2018</w:t>
            </w:r>
            <w:r>
              <w:rPr>
                <w:rFonts w:ascii="Times New Roman" w:hAnsi="Times New Roman"/>
                <w:b/>
                <w:sz w:val="20"/>
              </w:rPr>
              <w:t xml:space="preserve">(1) </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March 5, 2028</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1.68</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Mar 5, 2018</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293,500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293,500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Mar 5, 2028</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1.68</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9, 2021</w:t>
            </w:r>
            <w:r>
              <w:rPr>
                <w:rFonts w:ascii="Times New Roman" w:hAnsi="Times New Roman"/>
                <w:b/>
                <w:sz w:val="20"/>
              </w:rPr>
              <w:t xml:space="preserve">(1) </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Mar 9, 2031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4.69</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Mar 9, 2021</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521,250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521,250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Mar 9, 2031</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4.69</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3, 2021</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257,000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257,000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8.00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May 3, 2031</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4.84</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Dec 9, 2021</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60,000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60,000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2.02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Dec 9, 2031</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5.45</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31, 2022</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317,690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317,690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1.90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Mar 31, 2032</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5.76</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Dec 9, 2022</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652,150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652,150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3.85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Dec 9, 2032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6.45</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18, 2023</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6.84</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May 18, 2033</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6.89</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May 30, 2023</w:t>
            </w:r>
            <w:r>
              <w:rPr>
                <w:rFonts w:ascii="Times New Roman" w:hAnsi="Times New Roman"/>
                <w:b/>
                <w:sz w:val="20"/>
              </w:rPr>
              <w:t xml:space="preserve">(1) </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7,200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7,200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5.05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May 30, 2033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6.92</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 27, 2023</w:t>
            </w:r>
            <w:r>
              <w:rPr>
                <w:rFonts w:ascii="Times New Roman" w:hAnsi="Times New Roman"/>
                <w:b/>
                <w:sz w:val="20"/>
              </w:rPr>
              <w:t xml:space="preserve">(1) </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Sep 27, 2033</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7.25</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May 13, 2024</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1,343,702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1,138,545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3.96</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May 13, 2034</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7.87</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28, 2024</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3.82</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May 28, 2034</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7.92</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Aug 9, 2024</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44,000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29,000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3.48</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Aug 9, 2034</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8.12</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 10, 2024</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90,000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90,000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4.66</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Dec 10, 2034</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8.45</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March 25, 2025</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1,072,500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753,000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5.14</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Mar 25, 2035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8.74</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13, 2025</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276,000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228,625</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5.42</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May 13, 2035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8.87</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Dec 15, 2025</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1,842,850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718,746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8.63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Dec 15, 2035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9.47</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27, 2026</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121,350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30,338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9.44</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Mar 27, 2036</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9.75</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tcPr>
          <w:p>
            <w:pPr>
              <w:pStyle w:val="TableContents"/>
              <w:bidi w:val="0"/>
              <w:spacing w:before="0" w:after="0"/>
              <w:jc w:val="left"/>
              <w:rPr>
                <w:rFonts w:ascii="Times New Roman" w:hAnsi="Times New Roman"/>
                <w:sz w:val="20"/>
              </w:rPr>
            </w:pPr>
            <w:r>
              <w:rPr>
                <w:rFonts w:ascii="Times New Roman" w:hAnsi="Times New Roman"/>
                <w:sz w:val="20"/>
              </w:rPr>
              <w:t>Jun 15, 2026</w:t>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507,750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126,938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8.45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Jun 15, 2036</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9.97</w:t>
            </w:r>
          </w:p>
        </w:tc>
        <w:tc>
          <w:tcPr>
            <w:tcW w:w="69" w:type="dxa"/>
            <w:tcBorders/>
            <w:vAlign w:val="bottom"/>
          </w:tcPr>
          <w:p>
            <w:pPr>
              <w:pStyle w:val="TableContents"/>
              <w:bidi w:val="0"/>
              <w:spacing w:before="0" w:after="283"/>
              <w:jc w:val="left"/>
              <w:rPr/>
            </w:pPr>
            <w:r>
              <w:rPr/>
              <w:t> </w:t>
            </w:r>
          </w:p>
        </w:tc>
      </w:tr>
      <w:tr>
        <w:trPr/>
        <w:tc>
          <w:tcPr>
            <w:tcW w:w="2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 25, 2026</w:t>
            </w:r>
          </w:p>
        </w:tc>
        <w:tc>
          <w:tcPr>
            <w:tcW w:w="18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335,750</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88,938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97" w:type="dxa"/>
            <w:tcBorders/>
            <w:shd w:fill="CCEEFF" w:val="clear"/>
            <w:vAlign w:val="bottom"/>
          </w:tcPr>
          <w:p>
            <w:pPr>
              <w:pStyle w:val="TableContents"/>
              <w:bidi w:val="0"/>
              <w:spacing w:before="0" w:after="283"/>
              <w:jc w:val="right"/>
              <w:rPr/>
            </w:pPr>
            <w:r>
              <w:rPr/>
              <w:t>8.89</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Jun 25, 2036</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9.99</w:t>
            </w:r>
          </w:p>
        </w:tc>
        <w:tc>
          <w:tcPr>
            <w:tcW w:w="69" w:type="dxa"/>
            <w:tcBorders/>
            <w:shd w:fill="CCEEFF" w:val="clear"/>
            <w:vAlign w:val="bottom"/>
          </w:tcPr>
          <w:p>
            <w:pPr>
              <w:pStyle w:val="TableContents"/>
              <w:bidi w:val="0"/>
              <w:spacing w:before="0" w:after="283"/>
              <w:jc w:val="left"/>
              <w:rPr/>
            </w:pPr>
            <w:r>
              <w:rPr/>
              <w:t> </w:t>
            </w:r>
          </w:p>
        </w:tc>
      </w:tr>
      <w:tr>
        <w:trPr/>
        <w:tc>
          <w:tcPr>
            <w:tcW w:w="217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175" w:type="dxa"/>
            <w:tcBorders/>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b/>
              </w:rPr>
            </w:pPr>
            <w:r>
              <w:rPr>
                <w:b/>
              </w:rPr>
              <w:t>8,161,442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b/>
              </w:rPr>
            </w:pPr>
            <w:r>
              <w:rPr>
                <w:b/>
              </w:rPr>
              <w:t>5,716,670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b/>
              </w:rPr>
            </w:pPr>
            <w:r>
              <w:rPr>
                <w:b/>
              </w:rPr>
              <w:t>$</w:t>
            </w:r>
          </w:p>
        </w:tc>
        <w:tc>
          <w:tcPr>
            <w:tcW w:w="1097" w:type="dxa"/>
            <w:tcBorders/>
            <w:vAlign w:val="bottom"/>
          </w:tcPr>
          <w:p>
            <w:pPr>
              <w:pStyle w:val="TableContents"/>
              <w:bidi w:val="0"/>
              <w:spacing w:before="0" w:after="283"/>
              <w:jc w:val="right"/>
              <w:rPr>
                <w:b/>
              </w:rPr>
            </w:pPr>
            <w:r>
              <w:rPr>
                <w:b/>
              </w:rPr>
              <w:t>6.30</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b/>
              </w:rPr>
            </w:pPr>
            <w:r>
              <w:rPr>
                <w:b/>
              </w:rPr>
              <w:t>7.81</w:t>
            </w:r>
          </w:p>
        </w:tc>
        <w:tc>
          <w:tcPr>
            <w:tcW w:w="69" w:type="dxa"/>
            <w:tcBorders/>
            <w:vAlign w:val="bottom"/>
          </w:tcPr>
          <w:p>
            <w:pPr>
              <w:pStyle w:val="TableContents"/>
              <w:bidi w:val="0"/>
              <w:spacing w:before="0" w:after="283"/>
              <w:jc w:val="left"/>
              <w:rPr/>
            </w:pPr>
            <w:r>
              <w:rPr/>
              <w:t> </w:t>
            </w:r>
          </w:p>
        </w:tc>
      </w:tr>
      <w:tr>
        <w:trPr/>
        <w:tc>
          <w:tcPr>
            <w:tcW w:w="217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were repriced to $5.05 effective June 2, 2025 (see Note 11(d)(ii) above for further details).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Options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unrecognized stock-based compensation expense related to the non-vested stock options was $6,057,183, which is expected to be recognized over a weighted-average period of 2.57 years.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01"/>
        <w:gridCol w:w="302"/>
        <w:gridCol w:w="140"/>
        <w:gridCol w:w="996"/>
        <w:gridCol w:w="275"/>
        <w:gridCol w:w="227"/>
        <w:gridCol w:w="140"/>
        <w:gridCol w:w="996"/>
        <w:gridCol w:w="278"/>
      </w:tblGrid>
      <w:tr>
        <w:trPr/>
        <w:tc>
          <w:tcPr>
            <w:tcW w:w="4401"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4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Options granted during the six months ended</w:t>
            </w:r>
          </w:p>
        </w:tc>
        <w:tc>
          <w:tcPr>
            <w:tcW w:w="302"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2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278"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0</w:t>
            </w:r>
          </w:p>
        </w:tc>
        <w:tc>
          <w:tcPr>
            <w:tcW w:w="278"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Expected forfeiture rate</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0</w:t>
            </w:r>
          </w:p>
        </w:tc>
        <w:tc>
          <w:tcPr>
            <w:tcW w:w="278"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annual volatility</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67.58</w:t>
            </w:r>
          </w:p>
        </w:tc>
        <w:tc>
          <w:tcPr>
            <w:tcW w:w="2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72.23</w:t>
            </w:r>
          </w:p>
        </w:tc>
        <w:tc>
          <w:tcPr>
            <w:tcW w:w="278"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risk-free interest rate</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3.05</w:t>
            </w:r>
          </w:p>
        </w:tc>
        <w:tc>
          <w:tcPr>
            <w:tcW w:w="2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2.81</w:t>
            </w:r>
          </w:p>
        </w:tc>
        <w:tc>
          <w:tcPr>
            <w:tcW w:w="278"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expected option life</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5.74 years</w:t>
            </w:r>
          </w:p>
        </w:tc>
        <w:tc>
          <w:tcPr>
            <w:tcW w:w="2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5.49 years</w:t>
            </w:r>
          </w:p>
        </w:tc>
        <w:tc>
          <w:tcPr>
            <w:tcW w:w="278"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 price (CAD$)</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8.73</w:t>
            </w:r>
          </w:p>
        </w:tc>
        <w:tc>
          <w:tcPr>
            <w:tcW w:w="2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5.18</w:t>
            </w:r>
          </w:p>
        </w:tc>
        <w:tc>
          <w:tcPr>
            <w:tcW w:w="278" w:type="dxa"/>
            <w:tcBorders/>
            <w:vAlign w:val="bottom"/>
          </w:tcPr>
          <w:p>
            <w:pPr>
              <w:pStyle w:val="TableContents"/>
              <w:bidi w:val="0"/>
              <w:spacing w:before="0" w:after="283"/>
              <w:jc w:val="left"/>
              <w:rPr/>
            </w:pPr>
            <w:r>
              <w:rPr/>
              <w:t> </w:t>
            </w:r>
          </w:p>
        </w:tc>
      </w:tr>
      <w:tr>
        <w:trPr/>
        <w:tc>
          <w:tcPr>
            <w:tcW w:w="4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exercise price (CAD$)</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8.73</w:t>
            </w:r>
          </w:p>
        </w:tc>
        <w:tc>
          <w:tcPr>
            <w:tcW w:w="2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5.20</w:t>
            </w:r>
          </w:p>
        </w:tc>
        <w:tc>
          <w:tcPr>
            <w:tcW w:w="278" w:type="dxa"/>
            <w:tcBorders/>
            <w:shd w:fill="CCEEFF" w:val="clear"/>
            <w:vAlign w:val="bottom"/>
          </w:tcPr>
          <w:p>
            <w:pPr>
              <w:pStyle w:val="TableContents"/>
              <w:bidi w:val="0"/>
              <w:spacing w:before="0" w:after="283"/>
              <w:jc w:val="left"/>
              <w:rPr/>
            </w:pPr>
            <w:r>
              <w:rPr/>
              <w:t> </w:t>
            </w:r>
          </w:p>
        </w:tc>
      </w:tr>
      <w:tr>
        <w:trPr/>
        <w:tc>
          <w:tcPr>
            <w:tcW w:w="44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fair value of options granted (CAD$)</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3.98</w:t>
            </w:r>
          </w:p>
        </w:tc>
        <w:tc>
          <w:tcPr>
            <w:tcW w:w="2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2.55</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Share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Restricted share units (“RSU”) granted under the Omnibus Plan have lives of up to ten years from the date of grant. The vesting schedule of all grants is determined at the discretion of the Board. Unless otherwise determined by the Board, in its sole discretion, all grants of RSU will vest immediately or over a three-year period, with the first twenty-five percent (25%) of the RSU vesting on the date of grant, and the remaining RSU vesting over the following three-year period in three equal instalments on an annual basis. Vesting of RSU is subject to continued service on each vesting date. Upon vesting, each RSU entitles the holder to receive one common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Restricted Share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RSU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13"/>
        <w:gridCol w:w="404"/>
        <w:gridCol w:w="60"/>
        <w:gridCol w:w="1012"/>
        <w:gridCol w:w="155"/>
        <w:gridCol w:w="381"/>
        <w:gridCol w:w="640"/>
        <w:gridCol w:w="2627"/>
        <w:gridCol w:w="63"/>
      </w:tblGrid>
      <w:tr>
        <w:trPr/>
        <w:tc>
          <w:tcPr>
            <w:tcW w:w="2413"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41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RSUs</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3267"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r>
            <w:r>
              <w:rPr/>
              <w:br/>
            </w:r>
            <w:r>
              <w:rPr>
                <w:b/>
              </w:rPr>
              <w:t>Grant Date Fair Value (CAD$)</w:t>
            </w:r>
          </w:p>
        </w:tc>
        <w:tc>
          <w:tcPr>
            <w:tcW w:w="63" w:type="dxa"/>
            <w:tcBorders/>
            <w:vAlign w:val="bottom"/>
          </w:tcPr>
          <w:p>
            <w:pPr>
              <w:pStyle w:val="TableContents"/>
              <w:bidi w:val="0"/>
              <w:spacing w:before="0" w:after="283"/>
              <w:jc w:val="left"/>
              <w:rPr/>
            </w:pPr>
            <w:r>
              <w:rPr/>
              <w:t> </w:t>
            </w:r>
          </w:p>
        </w:tc>
      </w:tr>
      <w:tr>
        <w:trPr/>
        <w:tc>
          <w:tcPr>
            <w:tcW w:w="24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2024</w:t>
            </w:r>
          </w:p>
        </w:tc>
        <w:tc>
          <w:tcPr>
            <w:tcW w:w="4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262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1,254,600</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2627" w:type="dxa"/>
            <w:tcBorders/>
            <w:vAlign w:val="bottom"/>
          </w:tcPr>
          <w:p>
            <w:pPr>
              <w:pStyle w:val="TableContents"/>
              <w:bidi w:val="0"/>
              <w:spacing w:before="0" w:after="283"/>
              <w:jc w:val="right"/>
              <w:rPr/>
            </w:pPr>
            <w:r>
              <w:rPr/>
              <w:t>8.64</w:t>
            </w:r>
          </w:p>
        </w:tc>
        <w:tc>
          <w:tcPr>
            <w:tcW w:w="63" w:type="dxa"/>
            <w:tcBorders/>
            <w:vAlign w:val="bottom"/>
          </w:tcPr>
          <w:p>
            <w:pPr>
              <w:pStyle w:val="TableContents"/>
              <w:bidi w:val="0"/>
              <w:spacing w:before="0" w:after="283"/>
              <w:jc w:val="left"/>
              <w:rPr/>
            </w:pPr>
            <w:r>
              <w:rPr/>
              <w:t> </w:t>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Settled</w:t>
            </w:r>
          </w:p>
        </w:tc>
        <w:tc>
          <w:tcPr>
            <w:tcW w:w="4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(45,000</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2627" w:type="dxa"/>
            <w:tcBorders/>
            <w:shd w:fill="CCEEFF" w:val="clear"/>
            <w:vAlign w:val="bottom"/>
          </w:tcPr>
          <w:p>
            <w:pPr>
              <w:pStyle w:val="TableContents"/>
              <w:bidi w:val="0"/>
              <w:spacing w:before="0" w:after="283"/>
              <w:jc w:val="right"/>
              <w:rPr/>
            </w:pPr>
            <w:r>
              <w:rPr/>
              <w:t>8.78</w:t>
            </w:r>
          </w:p>
        </w:tc>
        <w:tc>
          <w:tcPr>
            <w:tcW w:w="63" w:type="dxa"/>
            <w:tcBorders/>
            <w:shd w:fill="CCEEFF" w:val="clear"/>
            <w:vAlign w:val="bottom"/>
          </w:tcPr>
          <w:p>
            <w:pPr>
              <w:pStyle w:val="TableContents"/>
              <w:bidi w:val="0"/>
              <w:spacing w:before="0" w:after="283"/>
              <w:jc w:val="left"/>
              <w:rPr/>
            </w:pPr>
            <w:r>
              <w:rPr/>
              <w:t> </w:t>
            </w:r>
          </w:p>
        </w:tc>
      </w:tr>
      <w:tr>
        <w:trPr/>
        <w:tc>
          <w:tcPr>
            <w:tcW w:w="2413"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26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4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b/>
              </w:rPr>
            </w:pPr>
            <w:r>
              <w:rPr>
                <w:b/>
              </w:rPr>
              <w:t>1,209,600</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b/>
              </w:rPr>
            </w:pPr>
            <w:r>
              <w:rPr>
                <w:b/>
              </w:rPr>
              <w:t>$</w:t>
            </w:r>
          </w:p>
        </w:tc>
        <w:tc>
          <w:tcPr>
            <w:tcW w:w="2627" w:type="dxa"/>
            <w:tcBorders/>
            <w:vAlign w:val="bottom"/>
          </w:tcPr>
          <w:p>
            <w:pPr>
              <w:pStyle w:val="TableContents"/>
              <w:bidi w:val="0"/>
              <w:spacing w:before="0" w:after="283"/>
              <w:jc w:val="right"/>
              <w:rPr>
                <w:b/>
              </w:rPr>
            </w:pPr>
            <w:r>
              <w:rPr>
                <w:b/>
              </w:rPr>
              <w:t>8.63</w:t>
            </w:r>
          </w:p>
        </w:tc>
        <w:tc>
          <w:tcPr>
            <w:tcW w:w="63" w:type="dxa"/>
            <w:tcBorders/>
            <w:vAlign w:val="bottom"/>
          </w:tcPr>
          <w:p>
            <w:pPr>
              <w:pStyle w:val="TableContents"/>
              <w:bidi w:val="0"/>
              <w:spacing w:before="0" w:after="283"/>
              <w:jc w:val="left"/>
              <w:rPr/>
            </w:pPr>
            <w:r>
              <w:rPr/>
              <w:t> </w:t>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307,850</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2627" w:type="dxa"/>
            <w:tcBorders/>
            <w:shd w:fill="CCEEFF" w:val="clear"/>
            <w:vAlign w:val="bottom"/>
          </w:tcPr>
          <w:p>
            <w:pPr>
              <w:pStyle w:val="TableContents"/>
              <w:bidi w:val="0"/>
              <w:spacing w:before="0" w:after="283"/>
              <w:jc w:val="right"/>
              <w:rPr/>
            </w:pPr>
            <w:r>
              <w:rPr/>
              <w:t>10.13</w:t>
            </w:r>
          </w:p>
        </w:tc>
        <w:tc>
          <w:tcPr>
            <w:tcW w:w="63" w:type="dxa"/>
            <w:tcBorders/>
            <w:shd w:fill="CCEEFF" w:val="clear"/>
            <w:vAlign w:val="bottom"/>
          </w:tcPr>
          <w:p>
            <w:pPr>
              <w:pStyle w:val="TableContents"/>
              <w:bidi w:val="0"/>
              <w:spacing w:before="0" w:after="283"/>
              <w:jc w:val="left"/>
              <w:rPr/>
            </w:pPr>
            <w:r>
              <w:rPr/>
              <w:t> </w:t>
            </w:r>
          </w:p>
        </w:tc>
      </w:tr>
      <w:tr>
        <w:trPr/>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(7,837</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2627" w:type="dxa"/>
            <w:tcBorders/>
            <w:vAlign w:val="bottom"/>
          </w:tcPr>
          <w:p>
            <w:pPr>
              <w:pStyle w:val="TableContents"/>
              <w:bidi w:val="0"/>
              <w:spacing w:before="0" w:after="283"/>
              <w:jc w:val="right"/>
              <w:rPr/>
            </w:pPr>
            <w:r>
              <w:rPr/>
              <w:t>8.63</w:t>
            </w:r>
          </w:p>
        </w:tc>
        <w:tc>
          <w:tcPr>
            <w:tcW w:w="63" w:type="dxa"/>
            <w:tcBorders/>
            <w:vAlign w:val="bottom"/>
          </w:tcPr>
          <w:p>
            <w:pPr>
              <w:pStyle w:val="TableContents"/>
              <w:bidi w:val="0"/>
              <w:spacing w:before="0" w:after="283"/>
              <w:jc w:val="left"/>
              <w:rPr/>
            </w:pPr>
            <w:r>
              <w:rPr/>
              <w:t> </w:t>
            </w:r>
          </w:p>
        </w:tc>
      </w:tr>
      <w:tr>
        <w:trPr/>
        <w:tc>
          <w:tcPr>
            <w:tcW w:w="2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Settled</w:t>
            </w:r>
          </w:p>
        </w:tc>
        <w:tc>
          <w:tcPr>
            <w:tcW w:w="4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(2,613</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2627" w:type="dxa"/>
            <w:tcBorders/>
            <w:shd w:fill="CCEEFF" w:val="clear"/>
            <w:vAlign w:val="bottom"/>
          </w:tcPr>
          <w:p>
            <w:pPr>
              <w:pStyle w:val="TableContents"/>
              <w:bidi w:val="0"/>
              <w:spacing w:before="0" w:after="283"/>
              <w:jc w:val="right"/>
              <w:rPr/>
            </w:pPr>
            <w:r>
              <w:rPr/>
              <w:t>8.63</w:t>
            </w:r>
          </w:p>
        </w:tc>
        <w:tc>
          <w:tcPr>
            <w:tcW w:w="63" w:type="dxa"/>
            <w:tcBorders/>
            <w:shd w:fill="CCEEFF" w:val="clear"/>
            <w:vAlign w:val="bottom"/>
          </w:tcPr>
          <w:p>
            <w:pPr>
              <w:pStyle w:val="TableContents"/>
              <w:bidi w:val="0"/>
              <w:spacing w:before="0" w:after="283"/>
              <w:jc w:val="left"/>
              <w:rPr/>
            </w:pPr>
            <w:r>
              <w:rPr/>
              <w:t> </w:t>
            </w:r>
          </w:p>
        </w:tc>
      </w:tr>
      <w:tr>
        <w:trPr/>
        <w:tc>
          <w:tcPr>
            <w:tcW w:w="2413"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26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4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June 30, 2026</w:t>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b/>
              </w:rPr>
            </w:pPr>
            <w:r>
              <w:rPr>
                <w:b/>
              </w:rPr>
              <w:t>1,507,000</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b/>
              </w:rPr>
            </w:pPr>
            <w:r>
              <w:rPr>
                <w:b/>
              </w:rPr>
              <w:t>$</w:t>
            </w:r>
          </w:p>
        </w:tc>
        <w:tc>
          <w:tcPr>
            <w:tcW w:w="2627" w:type="dxa"/>
            <w:tcBorders/>
            <w:vAlign w:val="bottom"/>
          </w:tcPr>
          <w:p>
            <w:pPr>
              <w:pStyle w:val="TableContents"/>
              <w:bidi w:val="0"/>
              <w:spacing w:before="0" w:after="283"/>
              <w:jc w:val="right"/>
              <w:rPr>
                <w:b/>
              </w:rPr>
            </w:pPr>
            <w:r>
              <w:rPr>
                <w:b/>
              </w:rPr>
              <w:t>8.92</w:t>
            </w:r>
          </w:p>
        </w:tc>
        <w:tc>
          <w:tcPr>
            <w:tcW w:w="63" w:type="dxa"/>
            <w:tcBorders/>
            <w:vAlign w:val="bottom"/>
          </w:tcPr>
          <w:p>
            <w:pPr>
              <w:pStyle w:val="TableContents"/>
              <w:bidi w:val="0"/>
              <w:spacing w:before="0" w:after="283"/>
              <w:jc w:val="left"/>
              <w:rPr/>
            </w:pPr>
            <w:r>
              <w:rPr/>
              <w:t> </w:t>
            </w:r>
          </w:p>
        </w:tc>
      </w:tr>
      <w:tr>
        <w:trPr/>
        <w:tc>
          <w:tcPr>
            <w:tcW w:w="2413"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26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Restricted Share Units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Share-based payments for the three months ended June 30, 2026, were $1,201,020 (2025 - $nil) (See Note 12 – Research &amp; Development Expenses &amp; Note 13 – General &amp; Administrative Expenses and for breakdown by function). </w:t>
      </w:r>
    </w:p>
    <w:p>
      <w:pPr>
        <w:pStyle w:val="TextBody"/>
        <w:bidi w:val="0"/>
        <w:spacing w:before="120" w:after="0"/>
        <w:jc w:val="left"/>
        <w:rPr>
          <w:rFonts w:ascii="Times New Roman" w:hAnsi="Times New Roman"/>
          <w:sz w:val="20"/>
        </w:rPr>
      </w:pPr>
      <w:r>
        <w:rPr>
          <w:rFonts w:ascii="Times New Roman" w:hAnsi="Times New Roman"/>
          <w:sz w:val="20"/>
        </w:rPr>
        <w:t xml:space="preserve">Share-based payments for the six months ended June 30, 2026, were $2,167,710 (2025 - $nil) (See Note 12 – Research &amp; Development Expenses &amp; Note 13 – General &amp; Administrative Expenses and for breakdown by function).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following RSUs were outstanding: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193"/>
        <w:gridCol w:w="253"/>
        <w:gridCol w:w="73"/>
        <w:gridCol w:w="1251"/>
        <w:gridCol w:w="60"/>
        <w:gridCol w:w="253"/>
        <w:gridCol w:w="88"/>
        <w:gridCol w:w="1223"/>
        <w:gridCol w:w="60"/>
        <w:gridCol w:w="253"/>
        <w:gridCol w:w="382"/>
        <w:gridCol w:w="1599"/>
        <w:gridCol w:w="67"/>
      </w:tblGrid>
      <w:tr>
        <w:trPr/>
        <w:tc>
          <w:tcPr>
            <w:tcW w:w="2193"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Grant Date</w:t>
            </w:r>
          </w:p>
        </w:tc>
        <w:tc>
          <w:tcPr>
            <w:tcW w:w="253" w:type="dxa"/>
            <w:tcBorders/>
            <w:vAlign w:val="bottom"/>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bottom"/>
          </w:tcPr>
          <w:p>
            <w:pPr>
              <w:pStyle w:val="TableContents"/>
              <w:bidi w:val="0"/>
              <w:spacing w:before="0" w:after="283"/>
              <w:jc w:val="center"/>
              <w:rPr/>
            </w:pPr>
            <w:r>
              <w:rPr>
                <w:b/>
              </w:rPr>
              <w:t>RSUs</w:t>
            </w:r>
            <w:r>
              <w:rPr/>
              <w:br/>
            </w:r>
            <w:r>
              <w:rPr>
                <w:b/>
              </w:rPr>
              <w:t>Outstanding</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pPr>
            <w:r>
              <w:rPr>
                <w:b/>
              </w:rPr>
              <w:t>RSUs</w:t>
            </w:r>
            <w:r>
              <w:rPr/>
              <w:br/>
            </w:r>
            <w:r>
              <w:rPr>
                <w:b/>
              </w:rPr>
              <w:t>Redeemable</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w:t>
              <w:br/>
              <w:t>Value (CAD$)</w:t>
            </w:r>
          </w:p>
        </w:tc>
        <w:tc>
          <w:tcPr>
            <w:tcW w:w="67" w:type="dxa"/>
            <w:tcBorders/>
            <w:vAlign w:val="bottom"/>
          </w:tcPr>
          <w:p>
            <w:pPr>
              <w:pStyle w:val="TableContents"/>
              <w:bidi w:val="0"/>
              <w:spacing w:before="0" w:after="283"/>
              <w:jc w:val="left"/>
              <w:rPr/>
            </w:pPr>
            <w:r>
              <w:rPr/>
              <w:t> </w:t>
            </w:r>
          </w:p>
        </w:tc>
      </w:tr>
      <w:tr>
        <w:trPr/>
        <w:tc>
          <w:tcPr>
            <w:tcW w:w="2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 15, 2025</w:t>
            </w:r>
          </w:p>
        </w:tc>
        <w:tc>
          <w:tcPr>
            <w:tcW w:w="25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1,199,150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794,788</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99" w:type="dxa"/>
            <w:tcBorders/>
            <w:shd w:fill="CCEEFF" w:val="clear"/>
            <w:vAlign w:val="bottom"/>
          </w:tcPr>
          <w:p>
            <w:pPr>
              <w:pStyle w:val="TableContents"/>
              <w:bidi w:val="0"/>
              <w:spacing w:before="0" w:after="283"/>
              <w:jc w:val="right"/>
              <w:rPr/>
            </w:pPr>
            <w:r>
              <w:rPr/>
              <w:t>8.63</w:t>
            </w:r>
          </w:p>
        </w:tc>
        <w:tc>
          <w:tcPr>
            <w:tcW w:w="67" w:type="dxa"/>
            <w:tcBorders/>
            <w:shd w:fill="CCEEFF" w:val="clear"/>
            <w:vAlign w:val="bottom"/>
          </w:tcPr>
          <w:p>
            <w:pPr>
              <w:pStyle w:val="TableContents"/>
              <w:bidi w:val="0"/>
              <w:spacing w:before="0" w:after="283"/>
              <w:jc w:val="left"/>
              <w:rPr/>
            </w:pPr>
            <w:r>
              <w:rPr/>
              <w:t> </w:t>
            </w:r>
          </w:p>
        </w:tc>
      </w:tr>
      <w:tr>
        <w:trPr/>
        <w:tc>
          <w:tcPr>
            <w:tcW w:w="2193" w:type="dxa"/>
            <w:tcBorders/>
          </w:tcPr>
          <w:p>
            <w:pPr>
              <w:pStyle w:val="TableContents"/>
              <w:bidi w:val="0"/>
              <w:spacing w:before="0" w:after="0"/>
              <w:jc w:val="left"/>
              <w:rPr>
                <w:rFonts w:ascii="Times New Roman" w:hAnsi="Times New Roman"/>
                <w:sz w:val="20"/>
              </w:rPr>
            </w:pPr>
            <w:r>
              <w:rPr>
                <w:rFonts w:ascii="Times New Roman" w:hAnsi="Times New Roman"/>
                <w:sz w:val="20"/>
              </w:rPr>
              <w:t>Mar 27, 2026</w:t>
            </w:r>
          </w:p>
        </w:tc>
        <w:tc>
          <w:tcPr>
            <w:tcW w:w="25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44,150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11,030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99" w:type="dxa"/>
            <w:tcBorders/>
            <w:vAlign w:val="bottom"/>
          </w:tcPr>
          <w:p>
            <w:pPr>
              <w:pStyle w:val="TableContents"/>
              <w:bidi w:val="0"/>
              <w:spacing w:before="0" w:after="283"/>
              <w:jc w:val="right"/>
              <w:rPr/>
            </w:pPr>
            <w:r>
              <w:rPr/>
              <w:t>9.44</w:t>
            </w:r>
          </w:p>
        </w:tc>
        <w:tc>
          <w:tcPr>
            <w:tcW w:w="67" w:type="dxa"/>
            <w:tcBorders/>
            <w:vAlign w:val="bottom"/>
          </w:tcPr>
          <w:p>
            <w:pPr>
              <w:pStyle w:val="TableContents"/>
              <w:bidi w:val="0"/>
              <w:spacing w:before="0" w:after="283"/>
              <w:jc w:val="left"/>
              <w:rPr/>
            </w:pPr>
            <w:r>
              <w:rPr/>
              <w:t> </w:t>
            </w:r>
          </w:p>
        </w:tc>
      </w:tr>
      <w:tr>
        <w:trPr/>
        <w:tc>
          <w:tcPr>
            <w:tcW w:w="2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 15, 2026</w:t>
            </w:r>
          </w:p>
        </w:tc>
        <w:tc>
          <w:tcPr>
            <w:tcW w:w="25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151,000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37,750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599" w:type="dxa"/>
            <w:tcBorders/>
            <w:shd w:fill="CCEEFF" w:val="clear"/>
            <w:vAlign w:val="bottom"/>
          </w:tcPr>
          <w:p>
            <w:pPr>
              <w:pStyle w:val="TableContents"/>
              <w:bidi w:val="0"/>
              <w:spacing w:before="0" w:after="283"/>
              <w:jc w:val="right"/>
              <w:rPr/>
            </w:pPr>
            <w:r>
              <w:rPr/>
              <w:t>11.05</w:t>
            </w:r>
          </w:p>
        </w:tc>
        <w:tc>
          <w:tcPr>
            <w:tcW w:w="67" w:type="dxa"/>
            <w:tcBorders/>
            <w:shd w:fill="CCEEFF" w:val="clear"/>
            <w:vAlign w:val="bottom"/>
          </w:tcPr>
          <w:p>
            <w:pPr>
              <w:pStyle w:val="TableContents"/>
              <w:bidi w:val="0"/>
              <w:spacing w:before="0" w:after="283"/>
              <w:jc w:val="left"/>
              <w:rPr/>
            </w:pPr>
            <w:r>
              <w:rPr/>
              <w:t> </w:t>
            </w:r>
          </w:p>
        </w:tc>
      </w:tr>
      <w:tr>
        <w:trPr/>
        <w:tc>
          <w:tcPr>
            <w:tcW w:w="2193" w:type="dxa"/>
            <w:tcBorders/>
          </w:tcPr>
          <w:p>
            <w:pPr>
              <w:pStyle w:val="TableContents"/>
              <w:bidi w:val="0"/>
              <w:spacing w:before="0" w:after="0"/>
              <w:jc w:val="left"/>
              <w:rPr>
                <w:rFonts w:ascii="Times New Roman" w:hAnsi="Times New Roman"/>
                <w:sz w:val="20"/>
              </w:rPr>
            </w:pPr>
            <w:r>
              <w:rPr>
                <w:rFonts w:ascii="Times New Roman" w:hAnsi="Times New Roman"/>
                <w:sz w:val="20"/>
              </w:rPr>
              <w:t>Jun 25, 2026</w:t>
            </w:r>
          </w:p>
        </w:tc>
        <w:tc>
          <w:tcPr>
            <w:tcW w:w="25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112,700</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28,175</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w:t>
            </w:r>
          </w:p>
        </w:tc>
        <w:tc>
          <w:tcPr>
            <w:tcW w:w="1599" w:type="dxa"/>
            <w:tcBorders/>
            <w:vAlign w:val="bottom"/>
          </w:tcPr>
          <w:p>
            <w:pPr>
              <w:pStyle w:val="TableContents"/>
              <w:bidi w:val="0"/>
              <w:spacing w:before="0" w:after="283"/>
              <w:jc w:val="right"/>
              <w:rPr/>
            </w:pPr>
            <w:r>
              <w:rPr/>
              <w:t>8.89</w:t>
            </w:r>
          </w:p>
        </w:tc>
        <w:tc>
          <w:tcPr>
            <w:tcW w:w="67" w:type="dxa"/>
            <w:tcBorders/>
            <w:vAlign w:val="bottom"/>
          </w:tcPr>
          <w:p>
            <w:pPr>
              <w:pStyle w:val="TableContents"/>
              <w:bidi w:val="0"/>
              <w:spacing w:before="0" w:after="283"/>
              <w:jc w:val="left"/>
              <w:rPr/>
            </w:pPr>
            <w:r>
              <w:rPr/>
              <w:t> </w:t>
            </w:r>
          </w:p>
        </w:tc>
      </w:tr>
      <w:tr>
        <w:trPr/>
        <w:tc>
          <w:tcPr>
            <w:tcW w:w="2193"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9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193" w:type="dxa"/>
            <w:tcBorders/>
            <w:shd w:fill="CCEEFF" w:val="clear"/>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1,507,000</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871,743</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b/>
              </w:rPr>
            </w:pPr>
            <w:r>
              <w:rPr>
                <w:b/>
              </w:rPr>
              <w:t>$</w:t>
            </w:r>
          </w:p>
        </w:tc>
        <w:tc>
          <w:tcPr>
            <w:tcW w:w="1599" w:type="dxa"/>
            <w:tcBorders/>
            <w:shd w:fill="CCEEFF" w:val="clear"/>
            <w:vAlign w:val="bottom"/>
          </w:tcPr>
          <w:p>
            <w:pPr>
              <w:pStyle w:val="TableContents"/>
              <w:bidi w:val="0"/>
              <w:spacing w:before="0" w:after="283"/>
              <w:jc w:val="right"/>
              <w:rPr>
                <w:b/>
              </w:rPr>
            </w:pPr>
            <w:r>
              <w:rPr>
                <w:b/>
              </w:rPr>
              <w:t>8.92</w:t>
            </w:r>
          </w:p>
        </w:tc>
        <w:tc>
          <w:tcPr>
            <w:tcW w:w="67" w:type="dxa"/>
            <w:tcBorders/>
            <w:shd w:fill="CCEEFF" w:val="clear"/>
            <w:vAlign w:val="bottom"/>
          </w:tcPr>
          <w:p>
            <w:pPr>
              <w:pStyle w:val="TableContents"/>
              <w:bidi w:val="0"/>
              <w:spacing w:before="0" w:after="283"/>
              <w:jc w:val="left"/>
              <w:rPr/>
            </w:pPr>
            <w:r>
              <w:rPr/>
              <w:t> </w:t>
            </w:r>
          </w:p>
        </w:tc>
      </w:tr>
      <w:tr>
        <w:trPr/>
        <w:tc>
          <w:tcPr>
            <w:tcW w:w="2193"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9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the unrecognized stock-based compensation expense related to the non-restricted share units was $2,874,029 which is expected to be recognized over a weighted-average period of 2.71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warrant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09"/>
        <w:gridCol w:w="411"/>
        <w:gridCol w:w="60"/>
        <w:gridCol w:w="1061"/>
        <w:gridCol w:w="155"/>
        <w:gridCol w:w="377"/>
        <w:gridCol w:w="463"/>
        <w:gridCol w:w="1855"/>
        <w:gridCol w:w="64"/>
      </w:tblGrid>
      <w:tr>
        <w:trPr/>
        <w:tc>
          <w:tcPr>
            <w:tcW w:w="3309"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09"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warrants</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31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r>
            <w:r>
              <w:rPr/>
              <w:br/>
            </w:r>
            <w:r>
              <w:rPr>
                <w:b/>
              </w:rPr>
              <w:t>exercise price (CAD$)</w:t>
            </w:r>
          </w:p>
        </w:tc>
        <w:tc>
          <w:tcPr>
            <w:tcW w:w="64" w:type="dxa"/>
            <w:tcBorders/>
            <w:vAlign w:val="bottom"/>
          </w:tcPr>
          <w:p>
            <w:pPr>
              <w:pStyle w:val="TableContents"/>
              <w:bidi w:val="0"/>
              <w:spacing w:before="0" w:after="283"/>
              <w:jc w:val="left"/>
              <w:rPr/>
            </w:pPr>
            <w:r>
              <w:rPr/>
              <w:t> </w:t>
            </w:r>
          </w:p>
        </w:tc>
      </w:tr>
      <w:tr>
        <w:trPr/>
        <w:tc>
          <w:tcPr>
            <w:tcW w:w="33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2024</w:t>
            </w:r>
          </w:p>
        </w:tc>
        <w:tc>
          <w:tcPr>
            <w:tcW w:w="4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b/>
              </w:rPr>
            </w:pPr>
            <w:r>
              <w:rPr>
                <w:b/>
              </w:rPr>
              <w:t>8,807,977</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b/>
              </w:rPr>
            </w:pPr>
            <w:r>
              <w:rPr>
                <w:b/>
              </w:rPr>
              <w:t>$</w:t>
            </w:r>
          </w:p>
        </w:tc>
        <w:tc>
          <w:tcPr>
            <w:tcW w:w="1855" w:type="dxa"/>
            <w:tcBorders/>
            <w:shd w:fill="CCEEFF" w:val="clear"/>
            <w:vAlign w:val="bottom"/>
          </w:tcPr>
          <w:p>
            <w:pPr>
              <w:pStyle w:val="TableContents"/>
              <w:bidi w:val="0"/>
              <w:spacing w:before="0" w:after="283"/>
              <w:jc w:val="right"/>
              <w:rPr>
                <w:b/>
              </w:rPr>
            </w:pPr>
            <w:r>
              <w:rPr>
                <w:b/>
              </w:rPr>
              <w:t>5.48</w:t>
            </w:r>
          </w:p>
        </w:tc>
        <w:tc>
          <w:tcPr>
            <w:tcW w:w="64"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(879,900</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2.46</w:t>
            </w:r>
          </w:p>
        </w:tc>
        <w:tc>
          <w:tcPr>
            <w:tcW w:w="64"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100,500</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0.75</w:t>
            </w:r>
          </w:p>
        </w:tc>
        <w:tc>
          <w:tcPr>
            <w:tcW w:w="64"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0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b/>
              </w:rPr>
            </w:pPr>
            <w:r>
              <w:rPr>
                <w:b/>
              </w:rPr>
              <w:t>8,028,577</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b/>
              </w:rPr>
            </w:pPr>
            <w:r>
              <w:rPr>
                <w:b/>
              </w:rPr>
              <w:t>5.75</w:t>
            </w:r>
          </w:p>
        </w:tc>
        <w:tc>
          <w:tcPr>
            <w:tcW w:w="64" w:type="dxa"/>
            <w:tcBorders/>
            <w:vAlign w:val="bottom"/>
          </w:tcPr>
          <w:p>
            <w:pPr>
              <w:pStyle w:val="TableContents"/>
              <w:bidi w:val="0"/>
              <w:spacing w:before="0" w:after="283"/>
              <w:jc w:val="left"/>
              <w:rPr/>
            </w:pPr>
            <w:r>
              <w:rPr/>
              <w:t> </w:t>
            </w:r>
          </w:p>
        </w:tc>
      </w:tr>
      <w:tr>
        <w:trP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(5,677,608</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4.07</w:t>
            </w:r>
          </w:p>
        </w:tc>
        <w:tc>
          <w:tcPr>
            <w:tcW w:w="64" w:type="dxa"/>
            <w:tcBorders/>
            <w:shd w:fill="CCEEFF" w:val="clear"/>
            <w:vAlign w:val="bottom"/>
          </w:tcPr>
          <w:p>
            <w:pPr>
              <w:pStyle w:val="TableContents"/>
              <w:bidi w:val="0"/>
              <w:spacing w:before="0" w:after="283"/>
              <w:jc w:val="left"/>
              <w:rPr/>
            </w:pPr>
            <w:r>
              <w:rPr/>
              <w:t> </w:t>
            </w:r>
          </w:p>
        </w:tc>
      </w:tr>
      <w:tr>
        <w:trP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4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(2,042,548</w:t>
            </w:r>
          </w:p>
        </w:tc>
        <w:tc>
          <w:tcPr>
            <w:tcW w:w="155"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11.20</w:t>
            </w:r>
          </w:p>
        </w:tc>
        <w:tc>
          <w:tcPr>
            <w:tcW w:w="64" w:type="dxa"/>
            <w:tcBorders/>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June 30, 2026</w:t>
            </w:r>
          </w:p>
        </w:tc>
        <w:tc>
          <w:tcPr>
            <w:tcW w:w="4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b/>
              </w:rPr>
            </w:pPr>
            <w:r>
              <w:rPr>
                <w:b/>
              </w:rPr>
              <w:t>308,421</w:t>
            </w:r>
          </w:p>
        </w:tc>
        <w:tc>
          <w:tcPr>
            <w:tcW w:w="155"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b/>
              </w:rPr>
            </w:pPr>
            <w:r>
              <w:rPr>
                <w:b/>
              </w:rPr>
              <w:t>0.58</w:t>
            </w:r>
          </w:p>
        </w:tc>
        <w:tc>
          <w:tcPr>
            <w:tcW w:w="64" w:type="dxa"/>
            <w:tcBorders/>
            <w:shd w:fill="CCEEFF" w:val="clear"/>
            <w:vAlign w:val="bottom"/>
          </w:tcPr>
          <w:p>
            <w:pPr>
              <w:pStyle w:val="TableContents"/>
              <w:bidi w:val="0"/>
              <w:spacing w:before="0" w:after="283"/>
              <w:jc w:val="left"/>
              <w:rPr/>
            </w:pPr>
            <w:r>
              <w:rPr/>
              <w:t> </w:t>
            </w:r>
          </w:p>
        </w:tc>
      </w:tr>
      <w:tr>
        <w:trPr/>
        <w:tc>
          <w:tcPr>
            <w:tcW w:w="3309"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double" w:sz="6" w:space="1" w:color="000000"/>
              </w:pBdr>
              <w:bidi w:val="0"/>
              <w:spacing w:before="0" w:after="0"/>
              <w:jc w:val="left"/>
              <w:rPr/>
            </w:pPr>
            <w:r>
              <w:rPr/>
              <w:t> </w:t>
            </w:r>
          </w:p>
        </w:tc>
        <w:tc>
          <w:tcPr>
            <w:tcW w:w="185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at June 30, 2026, the following warrants were outstanding: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89"/>
        <w:gridCol w:w="314"/>
        <w:gridCol w:w="246"/>
        <w:gridCol w:w="1214"/>
        <w:gridCol w:w="60"/>
        <w:gridCol w:w="314"/>
        <w:gridCol w:w="184"/>
        <w:gridCol w:w="1355"/>
        <w:gridCol w:w="60"/>
        <w:gridCol w:w="314"/>
        <w:gridCol w:w="85"/>
        <w:gridCol w:w="1155"/>
        <w:gridCol w:w="65"/>
      </w:tblGrid>
      <w:tr>
        <w:trPr/>
        <w:tc>
          <w:tcPr>
            <w:tcW w:w="2389"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Expiry date</w:t>
            </w:r>
          </w:p>
        </w:tc>
        <w:tc>
          <w:tcPr>
            <w:tcW w:w="314"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 price</w:t>
              <w:br/>
              <w:t>(CAD$)</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contractual life</w:t>
              <w:br/>
              <w:t>(years)</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b/>
              </w:rPr>
              <w:t>Warrants</w:t>
            </w:r>
            <w:r>
              <w:rPr/>
              <w:br/>
            </w:r>
            <w:r>
              <w:rPr>
                <w:b/>
              </w:rPr>
              <w:t>outstanding</w:t>
            </w:r>
            <w:r>
              <w:rPr/>
              <w:br/>
            </w:r>
            <w:r>
              <w:rPr>
                <w:b/>
              </w:rPr>
              <w:t>and</w:t>
            </w:r>
            <w:r>
              <w:rPr/>
              <w:br/>
            </w:r>
            <w:r>
              <w:rPr>
                <w:b/>
              </w:rPr>
              <w:t>exercisable</w:t>
            </w:r>
          </w:p>
        </w:tc>
        <w:tc>
          <w:tcPr>
            <w:tcW w:w="65"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120 days after holder to be a Director/ Officer or consultant</w:t>
            </w:r>
          </w:p>
        </w:tc>
        <w:tc>
          <w:tcPr>
            <w:tcW w:w="31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0.7572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93,421</w:t>
            </w:r>
          </w:p>
        </w:tc>
        <w:tc>
          <w:tcPr>
            <w:tcW w:w="65"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120 days after holder ceases to be a Director/ Officer or consultant(1)</w:t>
            </w:r>
          </w:p>
        </w:tc>
        <w:tc>
          <w:tcPr>
            <w:tcW w:w="31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0.4984</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215,000</w:t>
            </w:r>
          </w:p>
        </w:tc>
        <w:tc>
          <w:tcPr>
            <w:tcW w:w="65"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89"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b/>
              </w:rPr>
            </w:pPr>
            <w:r>
              <w:rPr>
                <w:b/>
              </w:rPr>
              <w:t>$</w:t>
            </w:r>
          </w:p>
        </w:tc>
        <w:tc>
          <w:tcPr>
            <w:tcW w:w="1214" w:type="dxa"/>
            <w:tcBorders/>
            <w:shd w:fill="CCEEFF" w:val="clear"/>
            <w:vAlign w:val="bottom"/>
          </w:tcPr>
          <w:p>
            <w:pPr>
              <w:pStyle w:val="TableContents"/>
              <w:bidi w:val="0"/>
              <w:spacing w:before="0" w:after="283"/>
              <w:jc w:val="right"/>
              <w:rPr>
                <w:b/>
              </w:rPr>
            </w:pPr>
            <w:r>
              <w:rPr>
                <w:b/>
              </w:rPr>
              <w:t>0.5768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b/>
              </w:rPr>
            </w:pPr>
            <w:r>
              <w:rPr>
                <w:b/>
              </w:rPr>
              <w:t>308,421</w:t>
            </w:r>
          </w:p>
        </w:tc>
        <w:tc>
          <w:tcPr>
            <w:tcW w:w="65"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unit purchase to acquire 215,000 units consisting of one Common Share and one additional warrant at an exercise price of CAD$0.75. These underlying warrants expire two years from the date of exercise of the primary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Pre-funded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Company issued pre-funded warrants as part of the Offering. The following table summarizes the pre-funded warrant activity for the period ended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9"/>
        <w:gridCol w:w="175"/>
        <w:gridCol w:w="60"/>
        <w:gridCol w:w="1003"/>
        <w:gridCol w:w="62"/>
      </w:tblGrid>
      <w:tr>
        <w:trPr/>
        <w:tc>
          <w:tcPr>
            <w:tcW w:w="563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1,428,571</w:t>
            </w:r>
          </w:p>
        </w:tc>
        <w:tc>
          <w:tcPr>
            <w:tcW w:w="62" w:type="dxa"/>
            <w:tcBorders/>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June 30, 2026</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b/>
              </w:rPr>
            </w:pPr>
            <w:r>
              <w:rPr>
                <w:b/>
              </w:rPr>
              <w:t>1,428,571</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pre-funded warrant is exercisable for the purchase of one common share at the holder’s discretion at an exercise price of $0.00001, subject to certain post-exercise beneficial ownership limitations as provided under the terms of the pre-funded warrant. Since the pre-funded warrants meet the condition for equity classification, proceeds from issuances of the pre-funded warrants for the six months ended June 30, 2026, of $9,270,238, net of underwriting commissions and offering expenses, are recorded in additional paid-in capital. Upon exercise of the pre-funded warrants, the historical costs recorded in additional paid-in capital along with the exercise price collected from the holder are recorded in common shares. To date, none of the pre-funded warrants have been exercised. The issued pre-funded warrants are included in the basic earnings per share calculation given that the exercise price of $0.00001 is nominal.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7"/>
        <w:gridCol w:w="9294"/>
      </w:tblGrid>
      <w:tr>
        <w:trPr/>
        <w:tc>
          <w:tcPr>
            <w:tcW w:w="404"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f)</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B Non-Voting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31, 2021, the Company entered into a contribution agreement with the Chief Scientific Officer of the Company, and certain of the Company’s subsidiaries (the “Contribution Agreement”). Pursuant to the Contribution Agreement, the Company acquired AMDM Holdings Inc., a corporation wholly-owned by the Chief Scientific Officer, which held 5% of the equity interest in the Company’s subsidiary, Eupraxia LLC. In exchange, the Company issued to the Chief Scientific Officer 225 non-voting Class B shares (the “Class B Shares”) in Eupraxia Pharma Inc. representing 5% of the outstanding securities of Eupraxia Pharma. The Company holds the remaining 95% of such securities, which consists of 4,275 voting Class A shares. </w:t>
      </w:r>
    </w:p>
    <w:p>
      <w:pPr>
        <w:pStyle w:val="TextBody"/>
        <w:bidi w:val="0"/>
        <w:spacing w:before="120" w:after="0"/>
        <w:jc w:val="left"/>
        <w:rPr>
          <w:rFonts w:ascii="Times New Roman" w:hAnsi="Times New Roman"/>
          <w:sz w:val="20"/>
        </w:rPr>
      </w:pPr>
      <w:r>
        <w:rPr>
          <w:rFonts w:ascii="Times New Roman" w:hAnsi="Times New Roman"/>
          <w:sz w:val="20"/>
        </w:rPr>
        <w:t xml:space="preserve">Each Class B Share is exchangeable into common shares of the Company based on an exchange rate of 2,500 common shares for each Class B Share, subject to adjustments upon the occurrence of certain events, for a total of 562,500 common shares. The Class B Shares are exchangeable by the Chief Scientific Officer at her election, provided that the Company may force the exchange of the Class B Shares into common shares of the Company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w:t>
      </w:r>
      <w:r>
        <w:rPr>
          <w:rFonts w:ascii="Times New Roman" w:hAnsi="Times New Roman"/>
          <w:i/>
          <w:sz w:val="20"/>
        </w:rPr>
        <w:t xml:space="preserve">de minimis </w:t>
      </w:r>
      <w:r>
        <w:rPr>
          <w:rFonts w:ascii="Times New Roman" w:hAnsi="Times New Roman"/>
          <w:sz w:val="20"/>
        </w:rPr>
        <w:t xml:space="preserve">number of Class B Shares outstanding. If the Company is listed on a stock exchange at the time of the applicable exchange, the Company may elect to pay the Chief Scientific Officer cash in lieu of issuing common shares, with such cash amount to be determined based on the then current market price of the common shares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result of the Preferred Shares being classified as increasing rate preferred stock with dividends not being declared until the third anniversary of closing of the Private Placement, the Company has calculated an implied dividend in determining the loss attributable to common shareholders. The impact on loss per share on the Consolidated Statements of Operations and Comprehensive Loss is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per Share (continued)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36"/>
        <w:gridCol w:w="130"/>
        <w:gridCol w:w="165"/>
        <w:gridCol w:w="1387"/>
        <w:gridCol w:w="155"/>
        <w:gridCol w:w="130"/>
        <w:gridCol w:w="175"/>
        <w:gridCol w:w="1377"/>
        <w:gridCol w:w="155"/>
        <w:gridCol w:w="130"/>
        <w:gridCol w:w="165"/>
        <w:gridCol w:w="1386"/>
        <w:gridCol w:w="155"/>
        <w:gridCol w:w="130"/>
        <w:gridCol w:w="165"/>
        <w:gridCol w:w="1387"/>
        <w:gridCol w:w="160"/>
      </w:tblGrid>
      <w:tr>
        <w:trPr/>
        <w:tc>
          <w:tcPr>
            <w:tcW w:w="203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2025</w:t>
            </w:r>
          </w:p>
        </w:tc>
        <w:tc>
          <w:tcPr>
            <w:tcW w:w="160" w:type="dxa"/>
            <w:tcBorders/>
            <w:vAlign w:val="bottom"/>
          </w:tcPr>
          <w:p>
            <w:pPr>
              <w:pStyle w:val="TableContents"/>
              <w:bidi w:val="0"/>
              <w:spacing w:before="0" w:after="283"/>
              <w:jc w:val="left"/>
              <w:rPr/>
            </w:pPr>
            <w:r>
              <w:rPr/>
              <w:t> </w:t>
            </w:r>
          </w:p>
        </w:tc>
      </w:tr>
      <w:tr>
        <w:trPr/>
        <w:tc>
          <w:tcPr>
            <w:tcW w:w="2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attributable to the Owners of the Company</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(14,486,955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(8,740,916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86" w:type="dxa"/>
            <w:tcBorders/>
            <w:shd w:fill="CCEEFF" w:val="clear"/>
            <w:vAlign w:val="bottom"/>
          </w:tcPr>
          <w:p>
            <w:pPr>
              <w:pStyle w:val="TableContents"/>
              <w:bidi w:val="0"/>
              <w:spacing w:before="0" w:after="283"/>
              <w:jc w:val="right"/>
              <w:rPr/>
            </w:pPr>
            <w:r>
              <w:rPr/>
              <w:t>(27,140,386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(15,503,524</w:t>
            </w:r>
          </w:p>
        </w:tc>
        <w:tc>
          <w:tcPr>
            <w:tcW w:w="160" w:type="dxa"/>
            <w:tcBorders/>
            <w:shd w:fill="CCEEFF" w:val="clear"/>
            <w:vAlign w:val="bottom"/>
          </w:tcPr>
          <w:p>
            <w:pPr>
              <w:pStyle w:val="TableContents"/>
              <w:bidi w:val="0"/>
              <w:spacing w:before="0" w:after="283"/>
              <w:jc w:val="left"/>
              <w:rPr/>
            </w:pPr>
            <w:r>
              <w:rPr/>
              <w:t>) </w:t>
            </w:r>
          </w:p>
        </w:tc>
      </w:tr>
      <w:tr>
        <w:trPr/>
        <w:tc>
          <w:tcPr>
            <w:tcW w:w="2036" w:type="dxa"/>
            <w:tcBorders/>
          </w:tcPr>
          <w:p>
            <w:pPr>
              <w:pStyle w:val="TableContents"/>
              <w:bidi w:val="0"/>
              <w:spacing w:before="0" w:after="0"/>
              <w:jc w:val="left"/>
              <w:rPr>
                <w:rFonts w:ascii="Times New Roman" w:hAnsi="Times New Roman"/>
                <w:sz w:val="20"/>
              </w:rPr>
            </w:pPr>
            <w:r>
              <w:rPr>
                <w:rFonts w:ascii="Times New Roman" w:hAnsi="Times New Roman"/>
                <w:sz w:val="20"/>
              </w:rPr>
              <w:t>Less: implied dividend on Preferred Shares</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596,050</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643,424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1,197,359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1,263,940</w:t>
            </w:r>
          </w:p>
        </w:tc>
        <w:tc>
          <w:tcPr>
            <w:tcW w:w="160" w:type="dxa"/>
            <w:tcBorders/>
            <w:vAlign w:val="bottom"/>
          </w:tcPr>
          <w:p>
            <w:pPr>
              <w:pStyle w:val="TableContents"/>
              <w:bidi w:val="0"/>
              <w:spacing w:before="0" w:after="283"/>
              <w:jc w:val="left"/>
              <w:rPr/>
            </w:pPr>
            <w:r>
              <w:rPr/>
              <w:t> </w:t>
            </w:r>
          </w:p>
        </w:tc>
      </w:tr>
      <w:tr>
        <w:trPr/>
        <w:tc>
          <w:tcPr>
            <w:tcW w:w="203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Loss attributable to the Owners of the Company</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(15,083,005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(9,384,340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(28,337,745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(16,767,464</w:t>
            </w:r>
          </w:p>
        </w:tc>
        <w:tc>
          <w:tcPr>
            <w:tcW w:w="160" w:type="dxa"/>
            <w:tcBorders/>
            <w:shd w:fill="CCEEFF" w:val="clear"/>
            <w:vAlign w:val="bottom"/>
          </w:tcPr>
          <w:p>
            <w:pPr>
              <w:pStyle w:val="TableContents"/>
              <w:bidi w:val="0"/>
              <w:spacing w:before="0" w:after="283"/>
              <w:jc w:val="left"/>
              <w:rPr/>
            </w:pPr>
            <w:r>
              <w:rPr/>
              <w:t>) </w:t>
            </w:r>
          </w:p>
        </w:tc>
      </w:tr>
      <w:tr>
        <w:trPr/>
        <w:tc>
          <w:tcPr>
            <w:tcW w:w="203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p>
            <w:pPr>
              <w:pStyle w:val="TableContents"/>
              <w:bidi w:val="0"/>
              <w:spacing w:before="0" w:after="20"/>
              <w:jc w:val="left"/>
              <w:rPr>
                <w:rFonts w:ascii="Times New Roman" w:hAnsi="Times New Roman"/>
                <w:sz w:val="20"/>
              </w:rPr>
            </w:pPr>
            <w:r>
              <w:rPr>
                <w:rFonts w:ascii="Times New Roman" w:hAnsi="Times New Roman"/>
                <w:sz w:val="20"/>
              </w:rPr>
              <w:t>Weighted average prefunded warrants outstanding</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jc w:val="right"/>
              <w:rPr/>
            </w:pPr>
            <w:r>
              <w:rPr/>
              <w:t>64,793,244</w:t>
            </w:r>
          </w:p>
          <w:p>
            <w:pPr>
              <w:pStyle w:val="TableContents"/>
              <w:bidi w:val="0"/>
              <w:spacing w:before="0" w:after="20"/>
              <w:jc w:val="right"/>
              <w:rPr>
                <w:rFonts w:ascii="Times New Roman" w:hAnsi="Times New Roman"/>
                <w:sz w:val="20"/>
              </w:rPr>
            </w:pPr>
            <w:r>
              <w:rPr>
                <w:rFonts w:ascii="Times New Roman" w:hAnsi="Times New Roman"/>
                <w:sz w:val="20"/>
              </w:rPr>
              <w:t>1,428,571</w:t>
            </w:r>
          </w:p>
        </w:tc>
        <w:tc>
          <w:tcPr>
            <w:tcW w:w="155" w:type="dxa"/>
            <w:tcBorders/>
            <w:vAlign w:val="bottom"/>
          </w:tcPr>
          <w:p>
            <w:pPr>
              <w:pStyle w:val="TableContents"/>
              <w:bidi w:val="0"/>
              <w:jc w:val="left"/>
              <w:rPr/>
            </w:pPr>
            <w:r>
              <w:rPr/>
              <w:t> </w:t>
            </w:r>
          </w:p>
          <w:p>
            <w:pPr>
              <w:pStyle w:val="TableContents"/>
              <w:bidi w:val="0"/>
              <w:spacing w:before="0" w:after="20"/>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jc w:val="right"/>
              <w:rPr/>
            </w:pPr>
            <w:r>
              <w:rPr/>
              <w:t>35,912,373</w:t>
            </w:r>
          </w:p>
          <w:p>
            <w:pPr>
              <w:pStyle w:val="TableContents"/>
              <w:bidi w:val="0"/>
              <w:spacing w:before="0" w:after="20"/>
              <w:jc w:val="right"/>
              <w:rPr/>
            </w:pPr>
            <w:r>
              <w:rPr/>
              <w:t>— </w:t>
            </w:r>
          </w:p>
        </w:tc>
        <w:tc>
          <w:tcPr>
            <w:tcW w:w="155" w:type="dxa"/>
            <w:tcBorders/>
            <w:vAlign w:val="bottom"/>
          </w:tcPr>
          <w:p>
            <w:pPr>
              <w:pStyle w:val="TableContents"/>
              <w:bidi w:val="0"/>
              <w:jc w:val="left"/>
              <w:rPr/>
            </w:pPr>
            <w:r>
              <w:rPr/>
              <w:t> </w:t>
            </w:r>
          </w:p>
          <w:p>
            <w:pPr>
              <w:pStyle w:val="TableContents"/>
              <w:bidi w:val="0"/>
              <w:spacing w:before="0" w:after="20"/>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jc w:val="right"/>
              <w:rPr/>
            </w:pPr>
            <w:r>
              <w:rPr/>
              <w:t>60,467,442</w:t>
            </w:r>
          </w:p>
          <w:p>
            <w:pPr>
              <w:pStyle w:val="TableContents"/>
              <w:bidi w:val="0"/>
              <w:spacing w:before="0" w:after="20"/>
              <w:jc w:val="right"/>
              <w:rPr>
                <w:rFonts w:ascii="Times New Roman" w:hAnsi="Times New Roman"/>
                <w:sz w:val="20"/>
              </w:rPr>
            </w:pPr>
            <w:r>
              <w:rPr>
                <w:rFonts w:ascii="Times New Roman" w:hAnsi="Times New Roman"/>
                <w:sz w:val="20"/>
              </w:rPr>
              <w:t>1,014,832</w:t>
            </w:r>
          </w:p>
        </w:tc>
        <w:tc>
          <w:tcPr>
            <w:tcW w:w="155" w:type="dxa"/>
            <w:tcBorders/>
            <w:vAlign w:val="bottom"/>
          </w:tcPr>
          <w:p>
            <w:pPr>
              <w:pStyle w:val="TableContents"/>
              <w:bidi w:val="0"/>
              <w:jc w:val="left"/>
              <w:rPr/>
            </w:pPr>
            <w:r>
              <w:rPr/>
              <w:t> </w:t>
            </w:r>
          </w:p>
          <w:p>
            <w:pPr>
              <w:pStyle w:val="TableContents"/>
              <w:bidi w:val="0"/>
              <w:spacing w:before="0" w:after="20"/>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jc w:val="right"/>
              <w:rPr/>
            </w:pPr>
            <w:r>
              <w:rPr/>
              <w:t>35,799,939</w:t>
            </w:r>
          </w:p>
          <w:p>
            <w:pPr>
              <w:pStyle w:val="TableContents"/>
              <w:bidi w:val="0"/>
              <w:spacing w:before="0" w:after="20"/>
              <w:jc w:val="right"/>
              <w:rPr/>
            </w:pPr>
            <w:r>
              <w:rPr/>
              <w:t>— </w:t>
            </w:r>
          </w:p>
        </w:tc>
        <w:tc>
          <w:tcPr>
            <w:tcW w:w="160"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203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036"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66,221,815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35,912,373</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61,482,274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35,799,939</w:t>
            </w:r>
          </w:p>
        </w:tc>
        <w:tc>
          <w:tcPr>
            <w:tcW w:w="160" w:type="dxa"/>
            <w:tcBorders/>
            <w:shd w:fill="CCEEFF" w:val="clear"/>
            <w:vAlign w:val="bottom"/>
          </w:tcPr>
          <w:p>
            <w:pPr>
              <w:pStyle w:val="TableContents"/>
              <w:bidi w:val="0"/>
              <w:spacing w:before="0" w:after="283"/>
              <w:jc w:val="left"/>
              <w:rPr/>
            </w:pPr>
            <w:r>
              <w:rPr/>
              <w:t> </w:t>
            </w:r>
          </w:p>
        </w:tc>
      </w:tr>
      <w:tr>
        <w:trPr/>
        <w:tc>
          <w:tcPr>
            <w:tcW w:w="20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per Share - Basic and Diluted (Owners of the Company)</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387" w:type="dxa"/>
            <w:tcBorders/>
            <w:vAlign w:val="bottom"/>
          </w:tcPr>
          <w:p>
            <w:pPr>
              <w:pStyle w:val="TableContents"/>
              <w:bidi w:val="0"/>
              <w:spacing w:before="0" w:after="283"/>
              <w:jc w:val="right"/>
              <w:rPr>
                <w:b/>
              </w:rPr>
            </w:pPr>
            <w:r>
              <w:rPr>
                <w:b/>
              </w:rPr>
              <w:t>(0.23</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377" w:type="dxa"/>
            <w:tcBorders/>
            <w:vAlign w:val="bottom"/>
          </w:tcPr>
          <w:p>
            <w:pPr>
              <w:pStyle w:val="TableContents"/>
              <w:bidi w:val="0"/>
              <w:spacing w:before="0" w:after="283"/>
              <w:jc w:val="right"/>
              <w:rPr>
                <w:b/>
              </w:rPr>
            </w:pPr>
            <w:r>
              <w:rPr>
                <w:b/>
              </w:rPr>
              <w:t>(0.26</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386" w:type="dxa"/>
            <w:tcBorders/>
            <w:vAlign w:val="bottom"/>
          </w:tcPr>
          <w:p>
            <w:pPr>
              <w:pStyle w:val="TableContents"/>
              <w:bidi w:val="0"/>
              <w:spacing w:before="0" w:after="283"/>
              <w:jc w:val="right"/>
              <w:rPr>
                <w:b/>
              </w:rPr>
            </w:pPr>
            <w:r>
              <w:rPr>
                <w:b/>
              </w:rPr>
              <w:t>(0.46</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387" w:type="dxa"/>
            <w:tcBorders/>
            <w:vAlign w:val="bottom"/>
          </w:tcPr>
          <w:p>
            <w:pPr>
              <w:pStyle w:val="TableContents"/>
              <w:bidi w:val="0"/>
              <w:spacing w:before="0" w:after="283"/>
              <w:jc w:val="right"/>
              <w:rPr>
                <w:b/>
              </w:rPr>
            </w:pPr>
            <w:r>
              <w:rPr>
                <w:b/>
              </w:rPr>
              <w:t>(0.47</w:t>
            </w:r>
          </w:p>
        </w:tc>
        <w:tc>
          <w:tcPr>
            <w:tcW w:w="160" w:type="dxa"/>
            <w:tcBorders/>
            <w:vAlign w:val="bottom"/>
          </w:tcPr>
          <w:p>
            <w:pPr>
              <w:pStyle w:val="TableContents"/>
              <w:bidi w:val="0"/>
              <w:spacing w:before="0" w:after="283"/>
              <w:jc w:val="left"/>
              <w:rPr>
                <w:b/>
              </w:rPr>
            </w:pPr>
            <w:r>
              <w:rPr>
                <w:b/>
              </w:rPr>
              <w:t>) </w:t>
            </w:r>
          </w:p>
        </w:tc>
      </w:tr>
      <w:tr>
        <w:trPr/>
        <w:tc>
          <w:tcPr>
            <w:tcW w:w="203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are comprised of the following: </w:t>
      </w:r>
    </w:p>
    <w:p>
      <w:pPr>
        <w:pStyle w:val="TextBody"/>
        <w:bidi w:val="0"/>
        <w:spacing w:before="0" w:after="0"/>
        <w:jc w:val="left"/>
        <w:rPr/>
      </w:pPr>
      <w:r>
        <w:rPr/>
        <w:t> </w:t>
      </w:r>
    </w:p>
    <w:tbl>
      <w:tblPr>
        <w:tblW w:w="9395" w:type="dxa"/>
        <w:jc w:val="center"/>
        <w:tblInd w:w="0" w:type="dxa"/>
        <w:tblLayout w:type="fixed"/>
        <w:tblCellMar>
          <w:top w:w="0" w:type="dxa"/>
          <w:left w:w="0" w:type="dxa"/>
          <w:bottom w:w="0" w:type="dxa"/>
          <w:right w:w="0" w:type="dxa"/>
        </w:tblCellMar>
      </w:tblPr>
      <w:tblGrid>
        <w:gridCol w:w="2285"/>
        <w:gridCol w:w="120"/>
        <w:gridCol w:w="157"/>
        <w:gridCol w:w="1393"/>
        <w:gridCol w:w="60"/>
        <w:gridCol w:w="120"/>
        <w:gridCol w:w="163"/>
        <w:gridCol w:w="1387"/>
        <w:gridCol w:w="155"/>
        <w:gridCol w:w="120"/>
        <w:gridCol w:w="163"/>
        <w:gridCol w:w="1387"/>
        <w:gridCol w:w="60"/>
        <w:gridCol w:w="120"/>
        <w:gridCol w:w="168"/>
        <w:gridCol w:w="1382"/>
        <w:gridCol w:w="15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2025</w:t>
            </w:r>
          </w:p>
        </w:tc>
        <w:tc>
          <w:tcPr>
            <w:tcW w:w="15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Preclinical</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393" w:type="dxa"/>
            <w:tcBorders/>
            <w:shd w:fill="CCEEFF" w:val="clear"/>
            <w:vAlign w:val="bottom"/>
          </w:tcPr>
          <w:p>
            <w:pPr>
              <w:pStyle w:val="TableContents"/>
              <w:bidi w:val="0"/>
              <w:spacing w:before="0" w:after="283"/>
              <w:jc w:val="right"/>
              <w:rPr/>
            </w:pPr>
            <w:r>
              <w:rPr/>
              <w:t>620,009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1,103,078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1,110,396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382" w:type="dxa"/>
            <w:tcBorders/>
            <w:shd w:fill="CCEEFF" w:val="clear"/>
            <w:vAlign w:val="bottom"/>
          </w:tcPr>
          <w:p>
            <w:pPr>
              <w:pStyle w:val="TableContents"/>
              <w:bidi w:val="0"/>
              <w:spacing w:before="0" w:after="283"/>
              <w:jc w:val="right"/>
              <w:rPr/>
            </w:pPr>
            <w:r>
              <w:rPr/>
              <w:t>1,334,355</w:t>
            </w:r>
          </w:p>
        </w:tc>
        <w:tc>
          <w:tcPr>
            <w:tcW w:w="15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Clinical</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3,361,817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1,195,516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7,468,463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1,899,601</w:t>
            </w:r>
          </w:p>
        </w:tc>
        <w:tc>
          <w:tcPr>
            <w:tcW w:w="15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Manufacturing &amp; analytical</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3,539,192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1,109,711</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6,852,997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2,422,356</w:t>
            </w:r>
          </w:p>
        </w:tc>
        <w:tc>
          <w:tcPr>
            <w:tcW w:w="15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Regulatory</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21,314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9,859</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36,641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12,041</w:t>
            </w:r>
          </w:p>
        </w:tc>
        <w:tc>
          <w:tcPr>
            <w:tcW w:w="155" w:type="dxa"/>
            <w:tcBorders/>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 research and development</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7,542,332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3,418,164</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15,468,497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5,668,353</w:t>
            </w:r>
          </w:p>
        </w:tc>
        <w:tc>
          <w:tcPr>
            <w:tcW w:w="15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Pipeline development</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2,051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(932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2,051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972,697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461,882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1,711,533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744,937</w:t>
            </w:r>
          </w:p>
        </w:tc>
        <w:tc>
          <w:tcPr>
            <w:tcW w:w="15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2,891,536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972,471</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4,456,187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1,921,747</w:t>
            </w:r>
          </w:p>
        </w:tc>
        <w:tc>
          <w:tcPr>
            <w:tcW w:w="15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payments (Notes 11(d)(iii) and 11(d)(vi))</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393" w:type="dxa"/>
            <w:tcBorders/>
            <w:shd w:fill="CCEEFF" w:val="clear"/>
            <w:vAlign w:val="bottom"/>
          </w:tcPr>
          <w:p>
            <w:pPr>
              <w:pStyle w:val="TableContents"/>
              <w:bidi w:val="0"/>
              <w:spacing w:before="0" w:after="283"/>
              <w:jc w:val="right"/>
              <w:rPr/>
            </w:pPr>
            <w:r>
              <w:rPr/>
              <w:t>1,396,389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375,738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2,340,693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742,112</w:t>
            </w:r>
          </w:p>
        </w:tc>
        <w:tc>
          <w:tcPr>
            <w:tcW w:w="15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R&amp;D Tax Incentive</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3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(30,708</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(30,708</w:t>
            </w:r>
          </w:p>
        </w:tc>
        <w:tc>
          <w:tcPr>
            <w:tcW w:w="155" w:type="dxa"/>
            <w:tcBorders/>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3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expenses during the period</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b/>
              </w:rPr>
            </w:pPr>
            <w:r>
              <w:rPr>
                <w:b/>
              </w:rPr>
              <w:t>$</w:t>
            </w:r>
          </w:p>
        </w:tc>
        <w:tc>
          <w:tcPr>
            <w:tcW w:w="1393" w:type="dxa"/>
            <w:tcBorders/>
            <w:shd w:fill="CCEEFF" w:val="clear"/>
            <w:vAlign w:val="bottom"/>
          </w:tcPr>
          <w:p>
            <w:pPr>
              <w:pStyle w:val="TableContents"/>
              <w:bidi w:val="0"/>
              <w:spacing w:before="0" w:after="283"/>
              <w:jc w:val="right"/>
              <w:rPr/>
            </w:pPr>
            <w:r>
              <w:rPr/>
              <w:t>   </w:t>
            </w:r>
            <w:r>
              <w:rPr>
                <w:b/>
              </w:rPr>
              <w:t>12,805,005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387" w:type="dxa"/>
            <w:tcBorders/>
            <w:shd w:fill="CCEEFF" w:val="clear"/>
            <w:vAlign w:val="bottom"/>
          </w:tcPr>
          <w:p>
            <w:pPr>
              <w:pStyle w:val="TableContents"/>
              <w:bidi w:val="0"/>
              <w:spacing w:before="0" w:after="283"/>
              <w:jc w:val="right"/>
              <w:rPr/>
            </w:pPr>
            <w:r>
              <w:rPr/>
              <w:t>   </w:t>
            </w:r>
            <w:r>
              <w:rPr>
                <w:b/>
              </w:rPr>
              <w:t>5,196,615</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b/>
              </w:rPr>
            </w:pPr>
            <w:r>
              <w:rPr>
                <w:b/>
              </w:rPr>
              <w:t>$</w:t>
            </w:r>
          </w:p>
        </w:tc>
        <w:tc>
          <w:tcPr>
            <w:tcW w:w="1387" w:type="dxa"/>
            <w:tcBorders/>
            <w:shd w:fill="CCEEFF" w:val="clear"/>
            <w:vAlign w:val="bottom"/>
          </w:tcPr>
          <w:p>
            <w:pPr>
              <w:pStyle w:val="TableContents"/>
              <w:bidi w:val="0"/>
              <w:spacing w:before="0" w:after="283"/>
              <w:jc w:val="right"/>
              <w:rPr/>
            </w:pPr>
            <w:r>
              <w:rPr/>
              <w:t>  </w:t>
            </w:r>
            <w:r>
              <w:rPr>
                <w:b/>
              </w:rPr>
              <w:t>23,978,961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b/>
              </w:rPr>
            </w:pPr>
            <w:r>
              <w:rPr>
                <w:b/>
              </w:rPr>
              <w:t>$</w:t>
            </w:r>
          </w:p>
        </w:tc>
        <w:tc>
          <w:tcPr>
            <w:tcW w:w="1382" w:type="dxa"/>
            <w:tcBorders/>
            <w:shd w:fill="CCEEFF" w:val="clear"/>
            <w:vAlign w:val="bottom"/>
          </w:tcPr>
          <w:p>
            <w:pPr>
              <w:pStyle w:val="TableContents"/>
              <w:bidi w:val="0"/>
              <w:spacing w:before="0" w:after="283"/>
              <w:jc w:val="right"/>
              <w:rPr/>
            </w:pPr>
            <w:r>
              <w:rPr/>
              <w:t>  </w:t>
            </w:r>
            <w:r>
              <w:rPr>
                <w:b/>
              </w:rPr>
              <w:t>9,046,441</w:t>
            </w:r>
          </w:p>
        </w:tc>
        <w:tc>
          <w:tcPr>
            <w:tcW w:w="155"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3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AND ADMINISTRATIVE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are comprised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14"/>
        <w:gridCol w:w="202"/>
        <w:gridCol w:w="193"/>
        <w:gridCol w:w="1357"/>
        <w:gridCol w:w="60"/>
        <w:gridCol w:w="202"/>
        <w:gridCol w:w="193"/>
        <w:gridCol w:w="1357"/>
        <w:gridCol w:w="60"/>
        <w:gridCol w:w="202"/>
        <w:gridCol w:w="175"/>
        <w:gridCol w:w="1397"/>
        <w:gridCol w:w="60"/>
        <w:gridCol w:w="202"/>
        <w:gridCol w:w="193"/>
        <w:gridCol w:w="1357"/>
        <w:gridCol w:w="64"/>
      </w:tblGrid>
      <w:tr>
        <w:trPr/>
        <w:tc>
          <w:tcPr>
            <w:tcW w:w="211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1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2025</w:t>
            </w:r>
          </w:p>
        </w:tc>
        <w:tc>
          <w:tcPr>
            <w:tcW w:w="64"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Office expenses</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1,042,593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208,805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1,719,682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448,921</w:t>
            </w:r>
          </w:p>
        </w:tc>
        <w:tc>
          <w:tcPr>
            <w:tcW w:w="64" w:type="dxa"/>
            <w:tcBorders/>
            <w:shd w:fill="CCEEFF" w:val="clear"/>
            <w:vAlign w:val="bottom"/>
          </w:tcPr>
          <w:p>
            <w:pPr>
              <w:pStyle w:val="TableContents"/>
              <w:bidi w:val="0"/>
              <w:spacing w:before="0" w:after="283"/>
              <w:jc w:val="left"/>
              <w:rPr/>
            </w:pPr>
            <w:r>
              <w:rPr/>
              <w:t> </w:t>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258,359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232,299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500,708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493,522</w:t>
            </w:r>
          </w:p>
        </w:tc>
        <w:tc>
          <w:tcPr>
            <w:tcW w:w="64"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Travel</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234,283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164,876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361,793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242,450</w:t>
            </w:r>
          </w:p>
        </w:tc>
        <w:tc>
          <w:tcPr>
            <w:tcW w:w="64" w:type="dxa"/>
            <w:tcBorders/>
            <w:shd w:fill="CCEEFF" w:val="clear"/>
            <w:vAlign w:val="bottom"/>
          </w:tcPr>
          <w:p>
            <w:pPr>
              <w:pStyle w:val="TableContents"/>
              <w:bidi w:val="0"/>
              <w:spacing w:before="0" w:after="283"/>
              <w:jc w:val="left"/>
              <w:rPr/>
            </w:pPr>
            <w:r>
              <w:rPr/>
              <w:t> </w:t>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494,162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631,076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1,068,888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1,078,526</w:t>
            </w:r>
          </w:p>
        </w:tc>
        <w:tc>
          <w:tcPr>
            <w:tcW w:w="64"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company costs</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396,335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353,779</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714,321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764,846</w:t>
            </w:r>
          </w:p>
        </w:tc>
        <w:tc>
          <w:tcPr>
            <w:tcW w:w="64" w:type="dxa"/>
            <w:tcBorders/>
            <w:shd w:fill="CCEEFF" w:val="clear"/>
            <w:vAlign w:val="bottom"/>
          </w:tcPr>
          <w:p>
            <w:pPr>
              <w:pStyle w:val="TableContents"/>
              <w:bidi w:val="0"/>
              <w:spacing w:before="0" w:after="283"/>
              <w:jc w:val="left"/>
              <w:rPr/>
            </w:pPr>
            <w:r>
              <w:rPr/>
              <w:t> </w:t>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1,236,816</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735,139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2,771,693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1,445,070</w:t>
            </w:r>
          </w:p>
        </w:tc>
        <w:tc>
          <w:tcPr>
            <w:tcW w:w="64"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payments ((Notes 11(d)(iii) and 11(d)(vi))</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1,635,620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741,510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2,944,172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1,868,543</w:t>
            </w:r>
          </w:p>
        </w:tc>
        <w:tc>
          <w:tcPr>
            <w:tcW w:w="64" w:type="dxa"/>
            <w:tcBorders/>
            <w:shd w:fill="CCEEFF" w:val="clear"/>
            <w:vAlign w:val="bottom"/>
          </w:tcPr>
          <w:p>
            <w:pPr>
              <w:pStyle w:val="TableContents"/>
              <w:bidi w:val="0"/>
              <w:spacing w:before="0" w:after="283"/>
              <w:jc w:val="left"/>
              <w:rPr/>
            </w:pPr>
            <w:r>
              <w:rPr/>
              <w:t> </w:t>
            </w:r>
          </w:p>
        </w:tc>
      </w:tr>
      <w:tr>
        <w:trPr/>
        <w:tc>
          <w:tcPr>
            <w:tcW w:w="211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1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expenses during the period</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5,298,168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3,067,484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397" w:type="dxa"/>
            <w:tcBorders/>
            <w:vAlign w:val="bottom"/>
          </w:tcPr>
          <w:p>
            <w:pPr>
              <w:pStyle w:val="TableContents"/>
              <w:bidi w:val="0"/>
              <w:spacing w:before="0" w:after="283"/>
              <w:jc w:val="right"/>
              <w:rPr>
                <w:b/>
              </w:rPr>
            </w:pPr>
            <w:r>
              <w:rPr>
                <w:b/>
              </w:rPr>
              <w:t>10,081,257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6,341,878</w:t>
            </w:r>
          </w:p>
        </w:tc>
        <w:tc>
          <w:tcPr>
            <w:tcW w:w="64" w:type="dxa"/>
            <w:tcBorders/>
            <w:vAlign w:val="bottom"/>
          </w:tcPr>
          <w:p>
            <w:pPr>
              <w:pStyle w:val="TableContents"/>
              <w:bidi w:val="0"/>
              <w:spacing w:before="0" w:after="283"/>
              <w:jc w:val="left"/>
              <w:rPr/>
            </w:pPr>
            <w:r>
              <w:rPr/>
              <w:t> </w:t>
            </w:r>
          </w:p>
        </w:tc>
      </w:tr>
      <w:tr>
        <w:trPr/>
        <w:tc>
          <w:tcPr>
            <w:tcW w:w="211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outlined in Note 9 – Lease Liability, the Company entered into a lease agreement on February 2, 2026 for lab and office space in Vancouver, BC. The lease is 5-year term agreement with the option to extend the lease for an additional 5-year term. The total variable lease expenses for the current term is estimated to be $422,549. This amount is subject to adjustment at the end of each lease year base on actual costs incurred and does not reflect the impact of the additional 60-month extension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the Company had entered into a lease extension on July 15, 2025 whereby it renewed its lease for its Victoria, BC facility for an additional twelve months commencing December 1, 2025 and ending November 30, 2026. On April 10, 2026, the Company informed the landlord that it would not be renewing the lease for its Victoria office once the current extension ends. The total variable lease expenses for the remaining term of the lease is anticipated to be $29,286. This amount is subject to adjustment at the end of each lease year based on actual costs incurred.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be required to make milestone, royalty, and other research and development funding payments under agreements with third parties (see Note 10 – Auritec License Agreement). These payments are contingent upon the achievement of specific development, regulatory and/or commercial milestones. The Company has not accrued these payments as at June 30, 2026 due to the uncertainty over whether these milestones will be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entered into a number of service contracts with its vendors. Some of those contracts have cancellation clauses which state the Company would pay a cancellation fee of between 15% and 100% of the next service milestone if it terminates the contract. As of June 30, 2026, there have been no cancellation of contracts that would trigger a cancellation fee.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entered into service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maximum amount of potential future indemnification is unlimited; however, the Company currently holds commercial general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SEGMENTED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a single reportable segment with the Chief Operating Decision Maker (“CODM”) being the Company’s Chief Executive Officer who manages the Company’s operations on a consolidated basis. The accounting policies of the segment are the same as those described in the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does not currently generate revenue, the CODM assesses Company performance through the achievement of preclinical and clinical research goals while evaluating the Company’s performance and allocates resources to the operations of the Company on a total company basis. This enables the CODM to assess the overall level of resources available and how to best deploy these resources. </w:t>
      </w:r>
    </w:p>
    <w:p>
      <w:pPr>
        <w:pStyle w:val="TextBody"/>
        <w:bidi w:val="0"/>
        <w:spacing w:before="120" w:after="0"/>
        <w:jc w:val="left"/>
        <w:rPr>
          <w:rFonts w:ascii="Times New Roman" w:hAnsi="Times New Roman"/>
          <w:sz w:val="20"/>
        </w:rPr>
      </w:pPr>
      <w:r>
        <w:rPr>
          <w:rFonts w:ascii="Times New Roman" w:hAnsi="Times New Roman"/>
          <w:sz w:val="20"/>
        </w:rPr>
        <w:t xml:space="preserve">The CODM uses net loss to monitor budget versus actual results and to analyze cash flows in assessing performance of the segment and allocating resources. The measure of segment assets is reported on the consolidated balance sheet as total consolidated assets, with a majority of these assets located in Canada.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significant segment expenses and segment loss: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76"/>
        <w:gridCol w:w="158"/>
        <w:gridCol w:w="165"/>
        <w:gridCol w:w="1385"/>
        <w:gridCol w:w="155"/>
        <w:gridCol w:w="142"/>
        <w:gridCol w:w="182"/>
        <w:gridCol w:w="1370"/>
        <w:gridCol w:w="155"/>
        <w:gridCol w:w="141"/>
        <w:gridCol w:w="165"/>
        <w:gridCol w:w="1385"/>
        <w:gridCol w:w="155"/>
        <w:gridCol w:w="142"/>
        <w:gridCol w:w="165"/>
        <w:gridCol w:w="1385"/>
        <w:gridCol w:w="162"/>
      </w:tblGrid>
      <w:tr>
        <w:trPr/>
        <w:tc>
          <w:tcPr>
            <w:tcW w:w="1976"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br/>
              <w:t>2025</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br/>
              <w:t>2025</w:t>
            </w:r>
          </w:p>
        </w:tc>
        <w:tc>
          <w:tcPr>
            <w:tcW w:w="162"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external research and development costs:</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8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EP-104GI</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5" w:type="dxa"/>
            <w:tcBorders/>
            <w:vAlign w:val="bottom"/>
          </w:tcPr>
          <w:p>
            <w:pPr>
              <w:pStyle w:val="TableContents"/>
              <w:bidi w:val="0"/>
              <w:spacing w:before="0" w:after="283"/>
              <w:jc w:val="right"/>
              <w:rPr/>
            </w:pPr>
            <w:r>
              <w:rPr/>
              <w:t>6,920,236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2,264,840</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5" w:type="dxa"/>
            <w:tcBorders/>
            <w:vAlign w:val="bottom"/>
          </w:tcPr>
          <w:p>
            <w:pPr>
              <w:pStyle w:val="TableContents"/>
              <w:bidi w:val="0"/>
              <w:spacing w:before="0" w:after="283"/>
              <w:jc w:val="right"/>
              <w:rPr/>
            </w:pPr>
            <w:r>
              <w:rPr/>
              <w:t>14,350,430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85" w:type="dxa"/>
            <w:tcBorders/>
            <w:vAlign w:val="bottom"/>
          </w:tcPr>
          <w:p>
            <w:pPr>
              <w:pStyle w:val="TableContents"/>
              <w:bidi w:val="0"/>
              <w:spacing w:before="0" w:after="283"/>
              <w:jc w:val="right"/>
              <w:rPr/>
            </w:pPr>
            <w:r>
              <w:rPr/>
              <w:t>4,274,921</w:t>
            </w:r>
          </w:p>
        </w:tc>
        <w:tc>
          <w:tcPr>
            <w:tcW w:w="162"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Preclinical</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620,009</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1,103,078</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1,110,396</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1,334,355</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EP-104IAR</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2,087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50,246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7,671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60,010</w:t>
            </w:r>
          </w:p>
        </w:tc>
        <w:tc>
          <w:tcPr>
            <w:tcW w:w="162"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4,128,352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1,707,610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7,227,880</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3,366,817</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payments</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3,032,009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1,117,248</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5,284,865</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2,610,655</w:t>
            </w:r>
          </w:p>
        </w:tc>
        <w:tc>
          <w:tcPr>
            <w:tcW w:w="162"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expenses</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974,748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430,242</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1,713,584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713,296</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expenses</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2,425,732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1,590,835</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4,365,392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3,028,265</w:t>
            </w:r>
          </w:p>
        </w:tc>
        <w:tc>
          <w:tcPr>
            <w:tcW w:w="162" w:type="dxa"/>
            <w:tcBorders/>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expenses</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18,103,173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8,264,099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34,060,218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15,388,319</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Reconciling items:</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1,391,928</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255,958</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2,466,000</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565,410</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equipment</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(2,704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(2,704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(1,075</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2,250,897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(733,961</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4,492,929</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(682,599</w:t>
            </w:r>
          </w:p>
        </w:tc>
        <w:tc>
          <w:tcPr>
            <w:tcW w:w="162"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financial instruments</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Tax expense</w:t>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(30,381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(5,581</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(44,286</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(8,375</w:t>
            </w:r>
          </w:p>
        </w:tc>
        <w:tc>
          <w:tcPr>
            <w:tcW w:w="162" w:type="dxa"/>
            <w:tcBorders/>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9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for the period</w:t>
            </w:r>
          </w:p>
        </w:tc>
        <w:tc>
          <w:tcPr>
            <w:tcW w:w="15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1385" w:type="dxa"/>
            <w:tcBorders/>
            <w:shd w:fill="CCEEFF" w:val="clear"/>
            <w:vAlign w:val="bottom"/>
          </w:tcPr>
          <w:p>
            <w:pPr>
              <w:pStyle w:val="TableContents"/>
              <w:bidi w:val="0"/>
              <w:spacing w:before="0" w:after="283"/>
              <w:jc w:val="right"/>
              <w:rPr>
                <w:b/>
              </w:rPr>
            </w:pPr>
            <w:r>
              <w:rPr>
                <w:b/>
              </w:rPr>
              <w:t>(14,493,433</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b/>
              </w:rPr>
            </w:pPr>
            <w:r>
              <w:rPr>
                <w:b/>
              </w:rPr>
              <w:t>$</w:t>
            </w:r>
          </w:p>
        </w:tc>
        <w:tc>
          <w:tcPr>
            <w:tcW w:w="1370" w:type="dxa"/>
            <w:tcBorders/>
            <w:shd w:fill="CCEEFF" w:val="clear"/>
            <w:vAlign w:val="bottom"/>
          </w:tcPr>
          <w:p>
            <w:pPr>
              <w:pStyle w:val="TableContents"/>
              <w:bidi w:val="0"/>
              <w:spacing w:before="0" w:after="283"/>
              <w:jc w:val="right"/>
              <w:rPr>
                <w:b/>
              </w:rPr>
            </w:pPr>
            <w:r>
              <w:rPr>
                <w:b/>
              </w:rPr>
              <w:t>(8,747,683</w:t>
            </w:r>
          </w:p>
        </w:tc>
        <w:tc>
          <w:tcPr>
            <w:tcW w:w="155" w:type="dxa"/>
            <w:tcBorders/>
            <w:shd w:fill="CCEEFF" w:val="clear"/>
            <w:vAlign w:val="bottom"/>
          </w:tcPr>
          <w:p>
            <w:pPr>
              <w:pStyle w:val="TableContents"/>
              <w:bidi w:val="0"/>
              <w:spacing w:before="0" w:after="283"/>
              <w:jc w:val="left"/>
              <w:rPr>
                <w:b/>
              </w:rPr>
            </w:pPr>
            <w:r>
              <w:rPr>
                <w:b/>
              </w:rPr>
              <w:t>) </w:t>
            </w:r>
          </w:p>
        </w:tc>
        <w:tc>
          <w:tcPr>
            <w:tcW w:w="14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1385" w:type="dxa"/>
            <w:tcBorders/>
            <w:shd w:fill="CCEEFF" w:val="clear"/>
            <w:vAlign w:val="bottom"/>
          </w:tcPr>
          <w:p>
            <w:pPr>
              <w:pStyle w:val="TableContents"/>
              <w:bidi w:val="0"/>
              <w:spacing w:before="0" w:after="283"/>
              <w:jc w:val="right"/>
              <w:rPr>
                <w:b/>
              </w:rPr>
            </w:pPr>
            <w:r>
              <w:rPr>
                <w:b/>
              </w:rPr>
              <w:t>(27,148,279</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1385" w:type="dxa"/>
            <w:tcBorders/>
            <w:shd w:fill="CCEEFF" w:val="clear"/>
            <w:vAlign w:val="bottom"/>
          </w:tcPr>
          <w:p>
            <w:pPr>
              <w:pStyle w:val="TableContents"/>
              <w:bidi w:val="0"/>
              <w:spacing w:before="0" w:after="283"/>
              <w:jc w:val="right"/>
              <w:rPr>
                <w:b/>
              </w:rPr>
            </w:pPr>
            <w:r>
              <w:rPr>
                <w:b/>
              </w:rPr>
              <w:t>(15,514,958</w:t>
            </w:r>
          </w:p>
        </w:tc>
        <w:tc>
          <w:tcPr>
            <w:tcW w:w="162" w:type="dxa"/>
            <w:tcBorders/>
            <w:shd w:fill="CCEEFF" w:val="clear"/>
            <w:vAlign w:val="bottom"/>
          </w:tcPr>
          <w:p>
            <w:pPr>
              <w:pStyle w:val="TableContents"/>
              <w:bidi w:val="0"/>
              <w:spacing w:before="0" w:after="283"/>
              <w:jc w:val="left"/>
              <w:rPr>
                <w:b/>
              </w:rPr>
            </w:pPr>
            <w:r>
              <w:rPr>
                <w:b/>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financial instruments consist of cash and cash equivalents, short-term investments, amounts receivable, accounts payable and accrued liabilities. There were no changes to the Company’s risk exposures or management of risks during the three and six months ended June 30, 2026. The Company’s risk exposures and the impact on the Company’s financial instruments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one party to a financial instrument will cause a financial loss for the other party by failing to discharge an obligation. The Company believes it has no significant credit risk, as its cash and cash equivalents and short-term investments, being its primary exposure to credit risk, are held with a large Canadian bank. The Company’s maximum exposure to credit risk is the carrying value of these financial assets. </w:t>
      </w:r>
    </w:p>
    <w:p>
      <w:pPr>
        <w:pStyle w:val="TextBody"/>
        <w:bidi w:val="0"/>
        <w:spacing w:before="360" w:after="0"/>
        <w:jc w:val="left"/>
        <w:rPr>
          <w:rFonts w:ascii="Times New Roman" w:hAnsi="Times New Roman"/>
          <w:i/>
          <w:sz w:val="20"/>
        </w:rPr>
      </w:pPr>
      <w:r>
        <w:rPr>
          <w:rFonts w:ascii="Times New Roman" w:hAnsi="Times New Roman"/>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an entity will encounter difficulty in meeting obligations associated with financial liabilities that are settled by delivering cash or another financial asset. The Company’s approach to managing liquidity risk is to ensure that it will have sufficient liquidity to the extent possible to meet liabilities when due. As at June 30, 2026, the Company had cash and cash equivalents of $52,426,167 (December 31, 2025 - $80,563,482) and short-term investments of $81,234,688 (December 31, 2025 - $nil) in addition to current liabilities of $8,550,748 (December 31, 2025 - $5,628,005). Management continuously considers certain strategic alternatives including, but not limited to, raising additional capital. These decisions are always made in consideration of the needs of the business, and in conjunction with the potential impact on shareholder dilution. </w:t>
      </w:r>
    </w:p>
    <w:p>
      <w:pPr>
        <w:pStyle w:val="TextBody"/>
        <w:bidi w:val="0"/>
        <w:spacing w:before="120" w:after="0"/>
        <w:jc w:val="left"/>
        <w:rPr>
          <w:rFonts w:ascii="Times New Roman" w:hAnsi="Times New Roman"/>
          <w:sz w:val="20"/>
        </w:rPr>
      </w:pPr>
      <w:r>
        <w:rPr>
          <w:rFonts w:ascii="Times New Roman" w:hAnsi="Times New Roman"/>
          <w:sz w:val="20"/>
        </w:rPr>
        <w:t xml:space="preserve">There is no assurance, however, that any or all of these alternatives will materialize or that additional funding will be available, if and when needed. </w:t>
      </w:r>
    </w:p>
    <w:p>
      <w:pPr>
        <w:pStyle w:val="TextBody"/>
        <w:bidi w:val="0"/>
        <w:spacing w:before="360" w:after="0"/>
        <w:jc w:val="left"/>
        <w:rPr>
          <w:rFonts w:ascii="Times New Roman" w:hAnsi="Times New Roman"/>
          <w:i/>
          <w:sz w:val="20"/>
        </w:rPr>
      </w:pPr>
      <w:r>
        <w:rPr>
          <w:rFonts w:ascii="Times New Roman" w:hAnsi="Times New Roman"/>
          <w:i/>
          <w:sz w:val="20"/>
        </w:rPr>
        <w:t xml:space="preserve">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that the fair value or future cash flows of a financial instrument will fluctuate because of changes in market prices. Market risk comprises three types of risk: interest rate risk, currency risk and other price risk.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 or future cash flows of a financial instrument will fluctuate because of changes in market interest rates. As of June 30, 2026, the Company had cash and cash equivalents of $52,426,167 and short-term investments of $81,234,688 which are held in term deposits, and bank accounts. Interest rate risk is affected by changes in the general level of interest rates, particularly because the majority of the Company’s investments are short-term in nature. Due to the short-term duration the cash and cash equivalent holdings and short-term investments, a 10% change in interest rates would not have a material effect on the fair market value of cash, cash equivalents and short-term investments. In addition, since the Company also has the ability to hold the cash equivalents and short-term investments until maturity, it would not expect the Company’s operating results or cash flows to be affected to any significant degree by the effect of a sudden change in market interest rates since the rates on the cash equivalents and short-term investments remain fixed until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Currency risk </w:t>
      </w:r>
    </w:p>
    <w:p>
      <w:pPr>
        <w:pStyle w:val="TextBody"/>
        <w:bidi w:val="0"/>
        <w:spacing w:before="120" w:after="0"/>
        <w:jc w:val="left"/>
        <w:rPr>
          <w:rFonts w:ascii="Times New Roman" w:hAnsi="Times New Roman"/>
          <w:sz w:val="20"/>
        </w:rPr>
      </w:pPr>
      <w:r>
        <w:rPr>
          <w:rFonts w:ascii="Times New Roman" w:hAnsi="Times New Roman"/>
          <w:sz w:val="20"/>
        </w:rPr>
        <w:t xml:space="preserve">Currency risk is the risk that the fair value or future cash flows of a financial instrument will fluctuate because of changes in foreign exchange rates. The Company is exposed to currency risk due to its frequency of transactions in US dollars and Australian dollars. The Company manages its foreign currency exposure by maintaining cash balances in Canadian dollars, US dollars and Australian dollars based on anticipated funding requirements. From time to time, the Company may convert US dollars into Canadian dollars to fund Canadian operating expenditures and purchases Australian dollars to satisfy anticipated expenditures in Australia. The Company does not currently enter into derivative instruments or other formal hedging arrangements to manage foreign currency risk. Accordingly, fluctuations in foreign exchange rates may adversely affect the Company’s financial position,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At June 30, 2026, the Company held cash and cash equivalents of $39,589,372 (December 31, 2025 – $77,988,544), short-term investments of $81,234,688 (December 31, 2025 - $nil) and had accounts payable and accrued liabilities of $1,689,463 (2025 – $942,201) denominated in US dollars which were translated to Canadian dollars at 1.4210 (December 31, 2025 – 1.3706). The impact of a 10% change in the exchange rates would have an impact of approximately $11,913,460 (December 31, 2025 – $7,704,614) on profit or loss. The Company held cash of $1,740,468 (December 31, 2025 - $1,449,522), accounts payable and accrued liabilities of $793,785 (December 31, 2025 - $779,455) and had $797,773 in amounts receivable (December 31, 2025 - $716,095) denominated in Australian Dollars which were translated into Canadian Dollars at 0.9817 (December 31, 2025 – 0.9147). The impact of a 10% change in the exchange rate would have an impact of approximately $120,516 (December 31, 2025 - $92,509) on profit or loss. The Company also has accounts payable in Euros. The impact of a 10% change in the exchanges of the Euro would have an immaterial effect on future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Other price risk </w:t>
      </w:r>
    </w:p>
    <w:p>
      <w:pPr>
        <w:pStyle w:val="TextBody"/>
        <w:bidi w:val="0"/>
        <w:spacing w:before="120" w:after="0"/>
        <w:jc w:val="left"/>
        <w:rPr>
          <w:rFonts w:ascii="Times New Roman" w:hAnsi="Times New Roman"/>
          <w:sz w:val="20"/>
        </w:rPr>
      </w:pPr>
      <w:r>
        <w:rPr>
          <w:rFonts w:ascii="Times New Roman" w:hAnsi="Times New Roman"/>
          <w:sz w:val="20"/>
        </w:rPr>
        <w:t xml:space="preserve">Other price risk is the risk that the fair value or future cash flows of a financial instrument will fluctuate because of changes in market prices (other than those arising from interest rate risk and foreign currency risk), whether those changes are caused by factors specific to the individual financial instrument or its issuer or by factors affecting all similar financial instruments traded in the market. The Company is not exposed to significant price risk with respect to commodity or equity prices.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categorizes its financial instruments measured at fair value into one of three different levels depending on the observation of inputs used in the measurement. </w:t>
      </w:r>
    </w:p>
    <w:p>
      <w:pPr>
        <w:pStyle w:val="TextBody"/>
        <w:bidi w:val="0"/>
        <w:spacing w:before="120" w:after="0"/>
        <w:jc w:val="left"/>
        <w:rPr>
          <w:rFonts w:ascii="Times New Roman" w:hAnsi="Times New Roman"/>
          <w:sz w:val="20"/>
        </w:rPr>
      </w:pPr>
      <w:r>
        <w:rPr>
          <w:rFonts w:ascii="Times New Roman" w:hAnsi="Times New Roman"/>
          <w:sz w:val="20"/>
        </w:rPr>
        <w:t xml:space="preserve">Level 1: Fair value is based on unadjusted quoted prices for identical assets or liabilities in active markets </w:t>
      </w:r>
    </w:p>
    <w:p>
      <w:pPr>
        <w:pStyle w:val="TextBody"/>
        <w:bidi w:val="0"/>
        <w:spacing w:before="120" w:after="0"/>
        <w:jc w:val="left"/>
        <w:rPr>
          <w:rFonts w:ascii="Times New Roman" w:hAnsi="Times New Roman"/>
          <w:sz w:val="20"/>
        </w:rPr>
      </w:pPr>
      <w:r>
        <w:rPr>
          <w:rFonts w:ascii="Times New Roman" w:hAnsi="Times New Roman"/>
          <w:sz w:val="20"/>
        </w:rPr>
        <w:t xml:space="preserve">Level 2: Fair value is based on inputs other than quoted prices included within Level 1 that are observable for the asset or liability, either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Level 3: Fair value is based on valuation techniques that require one or more significant unobservable inputs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instruments consist of cash, amounts receivable and accounts payable and accrued liabilities. The carrying value of the Company’s financial instruments approximate their fair values due to their short-term maturities.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CONDENSED CONSOLIDATED INTERIM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JUNE 30,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information regarding the classification and carrying values of the Company’s financial instruments measured at amortized cost: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5"/>
        <w:gridCol w:w="216"/>
        <w:gridCol w:w="145"/>
        <w:gridCol w:w="1151"/>
        <w:gridCol w:w="60"/>
        <w:gridCol w:w="216"/>
        <w:gridCol w:w="159"/>
        <w:gridCol w:w="1308"/>
        <w:gridCol w:w="65"/>
      </w:tblGrid>
      <w:tr>
        <w:trPr/>
        <w:tc>
          <w:tcPr>
            <w:tcW w:w="443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assets/liabilities</w:t>
            </w:r>
          </w:p>
        </w:tc>
        <w:tc>
          <w:tcPr>
            <w:tcW w:w="21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52,426,167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80,563,482</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81,234,688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receivable</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688,219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674,226</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8,390,871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5,549,553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WITH RESPECT TO CASH FLOWS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paid interest of $nil during the three months ended June 30, 2026 (2025 - $nil). The Company paid interest of $nil during the six months ended June 30, 2026 (2025 - $nil).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received interest of $721,257 during the three months ended June 30, 2026 (2025 - $257,031). The Company received interest of $1,249,377 during the six months ended June 30, 2026 (2025 - $565,219).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the following non-cash transactions for the three and six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Purchased $64,444 of lab equipment which was not paid until subsequent to June 30,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did not have non-cash transactions for three and six months ended June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the Company entered into an agreement to sublease premises at 5300 Carillon Point, Suite 300, Kirkland, WA 98033 for a term of five (5) years beginning August 1, 2026. The area is 6,329 sq. ft. and will be mainly used for office space. The total annual rent will be $493,662.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TextBody"/>
        <w:bidi w:val="0"/>
        <w:spacing w:before="0" w:after="0"/>
        <w:jc w:val="right"/>
        <w:rPr>
          <w:rFonts w:ascii="Times New Roman" w:hAnsi="Times New Roman"/>
          <w:b/>
          <w:sz w:val="20"/>
        </w:rPr>
      </w:pPr>
      <w:bookmarkStart w:id="4" w:name="d153391dex992.htm"/>
      <w:bookmarkStart w:id="5" w:name="ksd153391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990850" cy="122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0850" cy="12287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w:t>
      </w:r>
    </w:p>
    <w:p>
      <w:pPr>
        <w:pStyle w:val="TextBody"/>
        <w:bidi w:val="0"/>
        <w:spacing w:before="240" w:after="0"/>
        <w:jc w:val="center"/>
        <w:rPr>
          <w:rFonts w:ascii="Times New Roman" w:hAnsi="Times New Roman"/>
          <w:sz w:val="20"/>
        </w:rPr>
      </w:pPr>
      <w:r>
        <w:rPr>
          <w:rFonts w:ascii="Times New Roman" w:hAnsi="Times New Roman"/>
          <w:sz w:val="20"/>
        </w:rPr>
        <w:t xml:space="preserve">For the Three and Six Months ended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FOR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This management’s discussion and analysis (“</w:t>
      </w:r>
      <w:r>
        <w:rPr>
          <w:rFonts w:ascii="Times New Roman" w:hAnsi="Times New Roman"/>
          <w:b/>
          <w:sz w:val="20"/>
        </w:rPr>
        <w:t>MD&amp;A</w:t>
      </w:r>
      <w:r>
        <w:rPr>
          <w:rFonts w:ascii="Times New Roman" w:hAnsi="Times New Roman"/>
          <w:sz w:val="20"/>
        </w:rPr>
        <w:t>”) has been prepared as of August 11, 2026 and should be read in conjunction with the condensed consolidated interim financial statements of Eupraxia Pharmaceuticals Inc. (“</w:t>
      </w:r>
      <w:r>
        <w:rPr>
          <w:rFonts w:ascii="Times New Roman" w:hAnsi="Times New Roman"/>
          <w:b/>
          <w:sz w:val="20"/>
        </w:rPr>
        <w:t>Eupraxia</w:t>
      </w:r>
      <w:r>
        <w:rPr>
          <w:rFonts w:ascii="Times New Roman" w:hAnsi="Times New Roman"/>
          <w:sz w:val="20"/>
        </w:rPr>
        <w:t>” or the “</w:t>
      </w:r>
      <w:r>
        <w:rPr>
          <w:rFonts w:ascii="Times New Roman" w:hAnsi="Times New Roman"/>
          <w:b/>
          <w:sz w:val="20"/>
        </w:rPr>
        <w:t>Company</w:t>
      </w:r>
      <w:r>
        <w:rPr>
          <w:rFonts w:ascii="Times New Roman" w:hAnsi="Times New Roman"/>
          <w:sz w:val="20"/>
        </w:rPr>
        <w:t>”) as at and for the three and six months ended June 30, 2026 and the related notes thereto and in conjunction with the audited consolidated financial statements of the Company and related notes thereto for the years ended December 31, 2025 and 2024 which are prepared in accordance with generally accepted accounting principles in the United States of America (“</w:t>
      </w:r>
      <w:r>
        <w:rPr>
          <w:rFonts w:ascii="Times New Roman" w:hAnsi="Times New Roman"/>
          <w:b/>
          <w:sz w:val="20"/>
        </w:rPr>
        <w:t>U.S. GAAP</w:t>
      </w:r>
      <w:r>
        <w:rPr>
          <w:rFonts w:ascii="Times New Roman" w:hAnsi="Times New Roman"/>
          <w:sz w:val="20"/>
        </w:rPr>
        <w:t>”). All dollar amounts are expressed in U.S. dollars unless otherwise noted. In this MD&amp;A, unless the context requires otherwise, references to “we” or “our” are references to Eupraxia. Additional information relating to the Company is available in our annual information form (“</w:t>
      </w:r>
      <w:r>
        <w:rPr>
          <w:rFonts w:ascii="Times New Roman" w:hAnsi="Times New Roman"/>
          <w:b/>
          <w:sz w:val="20"/>
        </w:rPr>
        <w:t>AIF</w:t>
      </w:r>
      <w:r>
        <w:rPr>
          <w:rFonts w:ascii="Times New Roman" w:hAnsi="Times New Roman"/>
          <w:sz w:val="20"/>
        </w:rPr>
        <w:t xml:space="preserve">”), filed on SEDAR+ on March 12, 2026 and on EDGAR as an exhibit to our Form 40-F annual report on March 13, 2026. </w:t>
      </w:r>
    </w:p>
    <w:p>
      <w:pPr>
        <w:pStyle w:val="TextBody"/>
        <w:bidi w:val="0"/>
        <w:spacing w:before="240" w:after="0"/>
        <w:jc w:val="left"/>
        <w:rPr>
          <w:rFonts w:ascii="Times New Roman" w:hAnsi="Times New Roman"/>
          <w:sz w:val="20"/>
        </w:rPr>
      </w:pPr>
      <w:r>
        <w:rPr>
          <w:rFonts w:ascii="Times New Roman" w:hAnsi="Times New Roman"/>
          <w:sz w:val="20"/>
        </w:rPr>
        <w:t>In the interest of greater clarity for investors, the Company will use “EP-104GI” when referring to the product candidate that is intended for submucosal injections in the GI tract for indications such as eosinophilic esophagitis (“</w:t>
      </w:r>
      <w:r>
        <w:rPr>
          <w:rFonts w:ascii="Times New Roman" w:hAnsi="Times New Roman"/>
          <w:b/>
          <w:sz w:val="20"/>
        </w:rPr>
        <w:t>EoE</w:t>
      </w:r>
      <w:r>
        <w:rPr>
          <w:rFonts w:ascii="Times New Roman" w:hAnsi="Times New Roman"/>
          <w:sz w:val="20"/>
        </w:rPr>
        <w:t>”), and EP-104IAR when referring to the product candidate that is intended for intra-articular (“</w:t>
      </w:r>
      <w:r>
        <w:rPr>
          <w:rFonts w:ascii="Times New Roman" w:hAnsi="Times New Roman"/>
          <w:b/>
          <w:sz w:val="20"/>
        </w:rPr>
        <w:t>IAR</w:t>
      </w:r>
      <w:r>
        <w:rPr>
          <w:rFonts w:ascii="Times New Roman" w:hAnsi="Times New Roman"/>
          <w:sz w:val="20"/>
        </w:rPr>
        <w:t>”) injections for indications such as osteoarthritis (“</w:t>
      </w:r>
      <w:r>
        <w:rPr>
          <w:rFonts w:ascii="Times New Roman" w:hAnsi="Times New Roman"/>
          <w:b/>
          <w:sz w:val="20"/>
        </w:rPr>
        <w:t>OA</w:t>
      </w:r>
      <w:r>
        <w:rPr>
          <w:rFonts w:ascii="Times New Roman" w:hAnsi="Times New Roman"/>
          <w:sz w:val="20"/>
        </w:rPr>
        <w:t>”), and use “EP-104” to generally refer to all drug candidates and indications that use the extended-release fluticasone propionate (“</w:t>
      </w:r>
      <w:r>
        <w:rPr>
          <w:rFonts w:ascii="Times New Roman" w:hAnsi="Times New Roman"/>
          <w:b/>
          <w:sz w:val="20"/>
        </w:rPr>
        <w:t>FP”</w:t>
      </w:r>
      <w:r>
        <w:rPr>
          <w:rFonts w:ascii="Times New Roman" w:hAnsi="Times New Roman"/>
          <w:sz w:val="20"/>
        </w:rPr>
        <w:t xml:space="preserve">) encapsulated with the Diffusphere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and information in this MD&amp;A contain forward-looking statements or forward-looking information under applicable securities legislation that may not be based on historical fact, including, without limitation, statements containing the words “may,” “might,” “will,” “likely,” “could,” “would,” “should,” “expect,” “intend,” “plan,” “objective,” “goal,” “outlook,” “anticipate,” “believe,” “estimate,” “predict,” “project,” “forecast,” “estimate,” “potential,” “target,” “seek,” “contemplate,” “continue,” “design,” and “ongoing,” or the negative of these terms or other comparable terminology, although not all forward-looking statements contain these words and similar expressions. Forward-looking statements include estimates, plans, expectations, opinions, forecasts, projections, targets, guidance or other statements that are not statements of fact. Such forward-looking statements are made as of the date of this MD&amp;A.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necessarily based on estimates and assumptions made by us in light of our experience and perception of historical trends, current conditions and expected future developments, as well as factors that we believe are appropriate. Forward-looking statements in this MD&amp;A include, but are not limited to, statements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business strategies and objectives, including current and future plans, expectations and intentions;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evaluate funding alternatives for the continued development of EP-104IAR, including potential partnership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obtain sufficient funding for its operations, including funding for research, development and commercial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projected operating expenses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revenues, future trends, opportunities and growth in the Company’s industry and the drug development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market reception of the target profile of EP-104GI and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maintain and enhance its competitive advantages and technological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commercial partnerships and commercialization of the Company’s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ability to enter into definitive agreements with its contract research organizations (“</w:t>
            </w:r>
            <w:r>
              <w:rPr>
                <w:rFonts w:ascii="Times New Roman" w:hAnsi="Times New Roman"/>
                <w:b/>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enter into out-licencing, co-development and/or collaborative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clinical development programs and activities and the estimated timing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success of regulatory submissions, including the Company’s belief that its planned clinical trials will support future New Drug Application (“</w:t>
            </w:r>
            <w:r>
              <w:rPr>
                <w:rFonts w:ascii="Times New Roman" w:hAnsi="Times New Roman"/>
                <w:b/>
                <w:sz w:val="20"/>
              </w:rPr>
              <w:t>NDA</w:t>
            </w:r>
            <w:r>
              <w:rPr>
                <w:rFonts w:ascii="Times New Roman" w:hAnsi="Times New Roman"/>
                <w:sz w:val="20"/>
              </w:rPr>
              <w:t xml:space="preserve">”) submissions for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additional research and development team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the Company’s technology to impact the drug delivery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additional intellectual property, ability to patent or otherwise protect such developed intellectual property and licenses with third parties for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issued patents to provide protection for our products and technology in applicable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protect, expand upon and exploit its existing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sponsored research agreements and the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advantages of the Company and its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development and future success of the Company’s product candidates and results gathered from studies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products from the Company’s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regulations and standards to the Company’s future products and services or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retention of funds or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the Company’s technologies and expansion of its offerings into clinical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to patients from the Company’s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strategic relationship to the Company’s clients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engagement with legal and regulatory authorities in various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anticipated use of its existing cash and cash equivalents, including the use of net proceeds from the 2026 Offering (as defined herein) and the related estimated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the Company’s existing cash and cash equivalents to fund its future operating expenses and capital expenditure requirements and potential sources of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common shares in the capital of the Company (the “</w:t>
            </w:r>
            <w:r>
              <w:rPr>
                <w:rFonts w:ascii="Times New Roman" w:hAnsi="Times New Roman"/>
                <w:b/>
                <w:sz w:val="20"/>
              </w:rPr>
              <w:t>Common Shares</w:t>
            </w:r>
            <w:r>
              <w:rPr>
                <w:rFonts w:ascii="Times New Roman" w:hAnsi="Times New Roman"/>
                <w:sz w:val="20"/>
              </w:rPr>
              <w:t>”) upon conversion of the Series 1 Preferred Shares in the capital of the Company (the “</w:t>
            </w:r>
            <w:r>
              <w:rPr>
                <w:rFonts w:ascii="Times New Roman" w:hAnsi="Times New Roman"/>
                <w:b/>
                <w:sz w:val="20"/>
              </w:rPr>
              <w:t>Preferred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commercial viability of the Company’s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market acceptance for product candidates developed by the Company and for which it receives marketing authorization.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anticipation that in the future, therapeutic targets will be differentiated by dosing levels, vehicle and delivery methods and will be distinct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of considering the possibility of identifying a corporate partner to help with the development and/or commercialization of EP-104GI in markets outside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intention to continue development of EP-104GI through subsequent clinical trials required by the U.S. Food and Drug Administration (the “</w:t>
            </w:r>
            <w:r>
              <w:rPr>
                <w:rFonts w:ascii="Times New Roman" w:hAnsi="Times New Roman"/>
                <w:b/>
                <w:sz w:val="20"/>
              </w:rPr>
              <w:t>FDA</w:t>
            </w:r>
            <w:r>
              <w:rPr>
                <w:rFonts w:ascii="Times New Roman" w:hAnsi="Times New Roman"/>
                <w:sz w:val="20"/>
              </w:rPr>
              <w:t xml:space="preserve">”) and other global regulatory bodies to obtain commercial approval for marketing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future success of EP-104IAR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use its capital resources previously identified for EP-104IAR development to continue development of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EP-104 is a promising candidate for prolonged anti-inflammatory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EP-104 drug delivery technology platform has the potential to have a beneficial application for EoE, given the already-established efficacy of oral immediate release of FP in this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EP-104 drug delivery technology platform has the potential to be an effective treatment for OA based on the proven efficacy of other corticosteroids for this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adaptations to the original formulation of EP-104, including modifications to the carrier vehicle and dose, will result in the creation of EP-104GI specific to GI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ongoing global increase in cases and costs of EoE highlight the significant need for novel safe, efficacious and cost-effective treatments to improve outcomes in its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clinical trials and non-clinical work that the Company believes will be required in support of a future NDA submission for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anticipation that it or a potential partner would submit an NDA for EP-104IAR under Section 505(b)(2) of the Food, Drug, and Cosmetic Act to obtain FDA approval, and that such NDA would rely in part on non-clinical studies and clinical trials conducted by the Company or a potential partner, and in part on the FDA’s prior findings of safety and efficacy for the active ingredient for which the Company does not have a right of reference or which have been established in the scientific literature in the public domain;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future success of the product candidate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focus over the next 24 months on the execution of the EP-104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seek out-licencing, co-development or marketing partners for its technology, with the potential to expand and exploit its application 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which, depending on market conditions, may take the form of co-development or commercialization partnerships, transactional opportunities and/or public financing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pipeline programs are expected to be another area of potential growth in the next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its technology has the potential to be particularly suitable for diseases requiring precisely targeted and controlled localized therapy where broader tissue or systemic exposure should be avoided (e.g., tumour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goal to add two pipeline product candidates over the next 24 months to allow for sustained corporate growth, which the Company expects to involve a multidisciplinary review of candidate drugs, formulation development, in vitro screening to identify the most promising lead candidates and non-clinical proof-of-concept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plans to enroll approximately 120 patients in the Phase 2b portion of the RESOLVE trial in up to 25 sites globally, assessing tissue health measured by biopsy (EoEHSS and PEC scores), symptom scores (SDI and DSQ), and safety, over a twelve-month period. In Q4 2026, the Company expects to release interim data from the Phase 2b portion of the RESOLVE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at least one Phase 3 study assessing both efficacy (reduced histological signs and improved symptoms) and safety of EP-104GI will be required to seek marketing approval for EP-104GI for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uses of proceeds of the Company’s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its trend of net losses will continue into the future as it makes further investments in its EP-104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research and development expenses will increase as it undertakes clinical trials and incurs significant costs for CROs and consultants, and further investment in additional drug candidates in support of broader pipeline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general and administrative expenses are likely to remain high in the future as a result of ongoing costs associated with public company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expectations that its growth plans will require further capital and its plans to obtain such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and information involve significant risks, assumptions, uncertainties and other factors that may cause actual future results or anticipated events to differ materially from those expressed or implied in any forward-looking statements or information and, accordingly, should not be read as guarantees of future performance or results. These risks and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no products approved for commercial sale, which may make it difficult for you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a failure to obtain this necessary capital when needed could force us to delay, limit, reduce or terminate our product development or commercialization efforts, if any of our product candidates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candidates EP-104GI, which is currently being studied in a Phase 1b/2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FDA or comparable non-U.S. regulatory authorities or provide the basis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 product candidates may not be successful for their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product candidates will require regulatory approval, which is costly, and we may fail to obtain regulatory approvals or only obtain approvals for limited uses or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formulating any additional product candidates with our Diffusphere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clinical trials of our product candidates may not demonstrate safety and efficacy to the satisfaction of the FDA, European Medicines Agency (“</w:t>
            </w:r>
            <w:r>
              <w:rPr>
                <w:rFonts w:ascii="Times New Roman" w:hAnsi="Times New Roman"/>
                <w:b/>
                <w:sz w:val="20"/>
              </w:rPr>
              <w:t>EMA</w:t>
            </w:r>
            <w:r>
              <w:rPr>
                <w:rFonts w:ascii="Times New Roman" w:hAnsi="Times New Roman"/>
                <w:sz w:val="20"/>
              </w:rPr>
              <w:t xml:space="preserve">”), Health Canada or other comparable foreign regulatory authorities or otherwise produce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requires us to share our trade secrets, which increases the possibility that a competitor or other third party will discover them or that our trade secrets will be misappropriated or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other regulatory approval sooner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and marketing capabilities or enter into agreements with third parties to market and sell our drug candidates, if approved, we may be unable to generate any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novel technology with uncertain market acceptance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experience delays or difficulties in the enrollment and/or maintenance of patients in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is a lengthy, expensive, and inherently uncertain process, and we may experience delays in completing, or ultimately be unable to successfully complete the clinical trials needed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and other comparable foreign regulatory authorities may not accept data from trials conducted in locations outside of their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mean that we will be successful in obtaining regulatory approval of our product candidates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opportunity for any product candidate that we or our strategic partners develop is smaller than we believe, our revenue may be adversely affected and our business may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 candidates receive regulatory approval, the competitive landscape, standard of care, and pricing and reimbursement environment may have changed by that time, which could significantly reduce the market opportunity and our ability to attain commercially viable pricing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for competitive products could decrease due to competition from generic or biosimilar versions of those drugs, which could have a materially negative impact on our ability to capture adequate pricing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product candidates receive regulatory approval, we will be subject to significant post marketing regulatory requirements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and other regulatory authorities’ policies may change, and additional government regulations may be enacted that could prevent, limit or delay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 label uses and failure to comply with these laws and other laws relating to promotion could subject us to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caused by actions taken by the current U.S. presidential administration or through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a highly competitive industry which is continuously evolving with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will depend on our ability to continually enhance and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methods of product candidate manufacturing or formulation may result in additional costs or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uncertainty regarding U.S. tariffs and support for existing treaty and trade relationships, including with Canada, and implementation of new legislative or regulatory policies by the U.S. government could impose additional costs on the Company, result in delayed timelines, or otherwise negatively impact us, which could have a material adverse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variety of risks associated with potential international business relationships could materially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drug pricing and reimbursement policies - including the introduction or expansion of “most-favored-nation” or similar reference-pricing frameworks-could materially reduce achievable pricing, constrain market access, and adversely impact our revenues, margins, and overall business strategy; collaboration arrangements we may enter into in the future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any future debt instruments may restrict our ability to pursue our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acquire businesses or products, or form strategic alliances in the future, and we may not realize the benefits of such acquisitions or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traditionally relied on key collaborations and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manage our growth successfully, which may adversely impact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guidelines and recommendations published by various organizations can reduce the use of products that we may commercialize if marketing authorization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hazardous chemicals and biological materials in our business. Any claims relating to improper handling, storage or disposal of these materials could be time consuming and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then we may incur substantial liabilities and may be required to limit commercialization of EP-104, if approved, for any indication, and any other future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securities litigation, which is expensive and could divert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may be affiliated with other biotech companies and may have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global geopolitical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responsible for corruption and anti-bribery law violations;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foreign exchange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taxation risks and changing rules by different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 number of risks and hazards and may not be sufficiently insured for all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devote significant resources to regulatory compliance as a public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our ability to protect our intellectual property and our proprietary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scope of any patent protection we obtain is not sufficiently broad, or if we lose any of our patent protection, our ability to prevent our competitors from commercializing similar or identical product candidates would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do not necessarily address all potential threats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patent rights may prove to be an inadequate barrier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obtaining or maintaining necessary rights to our product candidates through acquisitions and in-licenses;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involved in lawsuits to protect or enforce our patents or our future licensors’ patents, which could be expensive, time consuming, and unsuccessful. Further, our issued patents or our current or future licensors’ patents could be found invalid or unenforceable if challenged in court or before administrative bodies in the United States or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litigation may lead to unfavorable publicity that harms our reputation and causes the market price of our Common Shares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derivation proceedings may be necessary to determine priority of inventions, and an unfavorable outcome may require us to cease using the related technology or to attempt to license rights from the prevailing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identify relevant third-party patents or may incorrectly interpret the relevance, scope or expiration of a third-party patent, which might adversely affect our ability to develop and market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patent law, or laws in other countries, or their interpretation could diminish the value of patents in general, thereby impairing our ability to protect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or ownership of our patents, the patents we license,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terms may be inadequate to protect our competitive position on our product candidates for an adequate amount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protect or enforce our intellectual property rights throughout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our patent protection depends on compliance with various procedural, documentary submission, fee payment and other requirements imposed by regulations and governmental patent agencies, and our patent protection could be reduced or eliminated for non-compliance with these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trademarks and trade names are not adequately protected, then we may not be able to build name recognition in our markets of interest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protect the confidentiality of our trade secrets, the value of our technology could be materially adversely affected, harming our business and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or our employees, independent contractors, or consultants have wrongfully used or disclosed alleged confidential information or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have wrongfully hired an employee from a competitor or that we or our employees, independent contractors, or consultants have wrongfully used or disclosed alleged confidential information or trade secrets of their former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our technology and product candidates, if approved, may be subject, in part, to the terms and conditions of any future licenses granted to us by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 protection and patent prosecution for some of our product candidates may be dependent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may be limited or unavailable in certain market segments for our product candidates, if approved, which could make it difficult for us to sell any product candidates or therapies, if approved,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activities could be affected or delayed as a result of possible restrictions on animal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healthcare legislative and regulatory reform measures may have a material adverse effect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Common Shares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may lose their entire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executive officers and directors own a significant percentage of Common Shares and may have a significant impact over matters submitted to our shareholders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Shares by our existing shareholders could cause our share price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raise additional financing in the future which may dilute our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Preferred Shares, and any future issuance of preferred shares could make it difficult for another company to acquire us or could otherwise adversely affect holders of our Common Shares, which could depress the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constating documents permit us to issue an unlimited number of Common Shares without additional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shareholders, restrict our operations or require us to relinquish rights to the Company’s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warrants, pre-funded warrants, Preferred Shares convertible into Common Shares, and shares of a subsidiary exchangeable for Common Shares outstanding, which in each case, if exercised, converted or exchanged, respectively, could cause dilution to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may have limited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we cannot assure you that an active market will develop or be sustained for our Common Shares on the Nasdaq Capital Market (“</w:t>
            </w:r>
            <w:r>
              <w:rPr>
                <w:rFonts w:ascii="Times New Roman" w:hAnsi="Times New Roman"/>
                <w:b/>
                <w:sz w:val="20"/>
              </w:rPr>
              <w:t>Nasdaq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not be able to obtain enforcement of civil liabilities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subject to different U.S. securities laws and rules than a domestic U.S. issuer, which may limit the information publicly available to our U.S.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of our shares may suffer adverse tax consequences if we are characterized as a passive foreign investment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U.S. holder is treated as owning at least 10% of our Common Shares, such U.S. holder may be subject to adverse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statements reflect our current views with respect to future events, are subject to risks and uncertainties and are necessarily based upon a number of estimates and assumptions that, while considered reasonable by Eupraxia as of the date of such statements, are inherently subject to significant medical, scientific, business, economic, competitive, political and social uncertainties and contingencies. Many factors could cause our actual results, performance or achievements to be materially different from any future results, performance, or achievements that may be expressed or implied by such forward-looking statements. In making the forward-looking statements included in this MD&amp;A, we have made various material assumptions, including but not limited to (i) our ability to attract and retain skilled staff; (ii) future research and development plans for the Company proceeding substantially as currently envisioned; (iii) industry growth trends, including with respect to projected and actual industry sales; (iv) our ability to obtain positive results from our research and development activities, including clinical trials; (v) sufficient working capital and our ability to control costs and raise additional financing going forward; (vi) obtaining regulatory approvals and the potential benefits of our product candidates, if approved; (vii) general business and economic conditions; (viii) our ability to achieve profitability; (ix) our ability to successfully commercialize our current product candidates, if approved, enter into commercial partnerships and develop new products; (x) the availability of financing on reasonable terms; (xi) market competition; (xii) the products and technology offered by the Company’s competitors; (xiii) our ability to protect patents and proprietary rights; and (xiv) the availability and cost of personnel, materials and supplies. </w:t>
      </w:r>
    </w:p>
    <w:p>
      <w:pPr>
        <w:pStyle w:val="TextBody"/>
        <w:bidi w:val="0"/>
        <w:spacing w:before="240" w:after="0"/>
        <w:jc w:val="left"/>
        <w:rPr>
          <w:rFonts w:ascii="Times New Roman" w:hAnsi="Times New Roman"/>
          <w:sz w:val="20"/>
        </w:rPr>
      </w:pPr>
      <w:r>
        <w:rPr>
          <w:rFonts w:ascii="Times New Roman" w:hAnsi="Times New Roman"/>
          <w:sz w:val="20"/>
        </w:rPr>
        <w:t>In evaluating forward-looking statements, current and prospective shareholders should specifically consider various factors, including the risks listed above and outlined herein under the headings “</w:t>
      </w:r>
      <w:r>
        <w:rPr>
          <w:rFonts w:ascii="Times New Roman" w:hAnsi="Times New Roman"/>
          <w:i/>
          <w:sz w:val="20"/>
        </w:rPr>
        <w:t>Credit risk</w:t>
      </w:r>
      <w:r>
        <w:rPr>
          <w:rFonts w:ascii="Times New Roman" w:hAnsi="Times New Roman"/>
          <w:sz w:val="20"/>
        </w:rPr>
        <w:t>”, “</w:t>
      </w:r>
      <w:r>
        <w:rPr>
          <w:rFonts w:ascii="Times New Roman" w:hAnsi="Times New Roman"/>
          <w:i/>
          <w:sz w:val="20"/>
        </w:rPr>
        <w:t>Liquidity risk</w:t>
      </w:r>
      <w:r>
        <w:rPr>
          <w:rFonts w:ascii="Times New Roman" w:hAnsi="Times New Roman"/>
          <w:sz w:val="20"/>
        </w:rPr>
        <w:t>”, “</w:t>
      </w:r>
      <w:r>
        <w:rPr>
          <w:rFonts w:ascii="Times New Roman" w:hAnsi="Times New Roman"/>
          <w:i/>
          <w:sz w:val="20"/>
        </w:rPr>
        <w:t>Market risk</w:t>
      </w:r>
      <w:r>
        <w:rPr>
          <w:rFonts w:ascii="Times New Roman" w:hAnsi="Times New Roman"/>
          <w:sz w:val="20"/>
        </w:rPr>
        <w:t>”, “</w:t>
      </w:r>
      <w:r>
        <w:rPr>
          <w:rFonts w:ascii="Times New Roman" w:hAnsi="Times New Roman"/>
          <w:i/>
          <w:sz w:val="20"/>
        </w:rPr>
        <w:t>Other price risk</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i/>
          <w:sz w:val="20"/>
        </w:rPr>
        <w:t>Interest rate risk</w:t>
      </w:r>
      <w:r>
        <w:rPr>
          <w:rFonts w:ascii="Times New Roman" w:hAnsi="Times New Roman"/>
          <w:sz w:val="20"/>
        </w:rPr>
        <w:t>” and “</w:t>
      </w:r>
      <w:r>
        <w:rPr>
          <w:rFonts w:ascii="Times New Roman" w:hAnsi="Times New Roman"/>
          <w:i/>
          <w:sz w:val="20"/>
        </w:rPr>
        <w:t>Currency risk</w:t>
      </w:r>
      <w:r>
        <w:rPr>
          <w:rFonts w:ascii="Times New Roman" w:hAnsi="Times New Roman"/>
          <w:sz w:val="20"/>
        </w:rPr>
        <w:t>” and under the heading “</w:t>
      </w:r>
      <w:r>
        <w:rPr>
          <w:rFonts w:ascii="Times New Roman" w:hAnsi="Times New Roman"/>
          <w:i/>
          <w:sz w:val="20"/>
        </w:rPr>
        <w:t>Risk Factors</w:t>
      </w:r>
      <w:r>
        <w:rPr>
          <w:rFonts w:ascii="Times New Roman" w:hAnsi="Times New Roman"/>
          <w:sz w:val="20"/>
        </w:rPr>
        <w:t xml:space="preserve">” in the AIF. Should one or more of these risks or uncertainties, or a risk that is not currently known to us materialize, or should assumptions underlying those forward-looking statements prove incorrect, actual results may vary materially from those described herein. These forward-looking statements are made as of the date of this MD&amp;A and we do not intend, and do not assume any obligation, to update these forward-looking statements, except as required by applicable securities laws. Investors are cautioned that forward-looking statements are not guarantees of future performance and are inherently uncertain. Accordingly, investors are cautioned not to put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Company </w:t>
      </w:r>
    </w:p>
    <w:p>
      <w:pPr>
        <w:pStyle w:val="TextBody"/>
        <w:bidi w:val="0"/>
        <w:spacing w:before="120" w:after="0"/>
        <w:jc w:val="left"/>
        <w:rPr>
          <w:rFonts w:ascii="Times New Roman" w:hAnsi="Times New Roman"/>
          <w:sz w:val="20"/>
        </w:rPr>
      </w:pPr>
      <w:r>
        <w:rPr>
          <w:rFonts w:ascii="Times New Roman" w:hAnsi="Times New Roman"/>
          <w:sz w:val="20"/>
        </w:rPr>
        <w:t>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pharmacokinetics (“</w:t>
      </w:r>
      <w:r>
        <w:rPr>
          <w:rFonts w:ascii="Times New Roman" w:hAnsi="Times New Roman"/>
          <w:b/>
          <w:sz w:val="20"/>
        </w:rPr>
        <w:t>PK</w:t>
      </w:r>
      <w:r>
        <w:rPr>
          <w:rFonts w:ascii="Times New Roman" w:hAnsi="Times New Roman"/>
          <w:sz w:val="20"/>
        </w:rPr>
        <w:t xml:space="preserve">”) and related safety profile and precisely targeted local delivery. We believe a product with this profile could offer the dual potential of providing long-lasting treatment and being well-tolerated in target and non-target tissues. </w:t>
      </w:r>
    </w:p>
    <w:p>
      <w:pPr>
        <w:pStyle w:val="TextBody"/>
        <w:bidi w:val="0"/>
        <w:spacing w:before="240" w:after="0"/>
        <w:jc w:val="left"/>
        <w:rPr>
          <w:rFonts w:ascii="Times New Roman" w:hAnsi="Times New Roman"/>
          <w:sz w:val="20"/>
        </w:rPr>
      </w:pPr>
      <w:r>
        <w:rPr>
          <w:rFonts w:ascii="Times New Roman" w:hAnsi="Times New Roman"/>
          <w:sz w:val="20"/>
        </w:rPr>
        <w:t>Our strategy is to develop a diversified portfolio of product candidates based on our delivery technology. Our lead program, EP-104GI is being developed for the treatment of EoE and is designed to provide sustained, localized delivery of FP into the esophagus. Using the same API, we believe adaptations to this formulation, including modifications to the carrier vehicle and dose, will enable us to develop additional anti-inflammatory product candidates, including applications in additional gastrointestinal (“</w:t>
      </w:r>
      <w:r>
        <w:rPr>
          <w:rFonts w:ascii="Times New Roman" w:hAnsi="Times New Roman"/>
          <w:b/>
          <w:sz w:val="20"/>
        </w:rPr>
        <w:t>GI</w:t>
      </w:r>
      <w:r>
        <w:rPr>
          <w:rFonts w:ascii="Times New Roman" w:hAnsi="Times New Roman"/>
          <w:sz w:val="20"/>
        </w:rPr>
        <w:t xml:space="preserve">”) indications. Beyond FP, we are exploring other APIs that would benefit from the Diffusphere platform’s controlled-release characteristics, with the goal of expanding into additional therapeutic areas. We believe this approach has the potential to generate a robust pipeline of differentiated product candidates focused on addressing multiple areas of high unmet need.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two distinct clinical development programs, one targeting EoE and the second targeting chronic OA pain in the knee. Both programs are broadly based upon the same API, FP.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EP-104 is intended to refer to the extended-release fluticasone propionate encapsulated with the Diffusphere technology, which is used in the formulation of both EP-104GI and EP-104IAR.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EP-104 (Long-Acting Fluticasone Propionate Injectable Suspension) </w:t>
      </w:r>
    </w:p>
    <w:p>
      <w:pPr>
        <w:pStyle w:val="TextBody"/>
        <w:bidi w:val="0"/>
        <w:spacing w:before="120" w:after="0"/>
        <w:jc w:val="left"/>
        <w:rPr>
          <w:rFonts w:ascii="Times New Roman" w:hAnsi="Times New Roman"/>
          <w:sz w:val="20"/>
        </w:rPr>
      </w:pPr>
      <w:r>
        <w:rPr>
          <w:rFonts w:ascii="Times New Roman" w:hAnsi="Times New Roman"/>
          <w:sz w:val="20"/>
        </w:rPr>
        <w:t>The primary active ingredient of the EP-104 product candidates consists of a solid core of FP coated with an outer layer of polyvinyl alcohol (“</w:t>
      </w:r>
      <w:r>
        <w:rPr>
          <w:rFonts w:ascii="Times New Roman" w:hAnsi="Times New Roman"/>
          <w:b/>
          <w:sz w:val="20"/>
        </w:rPr>
        <w:t>PVA</w:t>
      </w:r>
      <w:r>
        <w:rPr>
          <w:rFonts w:ascii="Times New Roman" w:hAnsi="Times New Roman"/>
          <w:sz w:val="20"/>
        </w:rPr>
        <w:t>”). FP is a synthetic trifluorinated corticosteroid with potent anti-inflammatory activity and a well-established systemic safety record in the form of widely used inhaled, intranasal, and topical agents. It has been shown to be locally active, and FP that is systemically absorbed is rapidly metabolized. Relative to other corticosteroids (including triamcinolone acetonide or “</w:t>
      </w:r>
      <w:r>
        <w:rPr>
          <w:rFonts w:ascii="Times New Roman" w:hAnsi="Times New Roman"/>
          <w:b/>
          <w:sz w:val="20"/>
        </w:rPr>
        <w:t>TCA</w:t>
      </w:r>
      <w:r>
        <w:rPr>
          <w:rFonts w:ascii="Times New Roman" w:hAnsi="Times New Roman"/>
          <w:sz w:val="20"/>
        </w:rPr>
        <w:t xml:space="preserve">”), FP has a high affinity for the glucocorticoid receptor, low solubility, a low rate of dissociation, and a comparatively long half-life. It is currently approved by the FDA, Health Canada, EMA, and many other regulatory agencies around the world. PVA is a biocompatible polymer with numerous biomedical applications and a 30-year safety record in various human tissues. We believe these characteristics make EP-104 a promising candidate for prolonged anti-inflammatory use. </w:t>
      </w:r>
    </w:p>
    <w:p>
      <w:pPr>
        <w:pStyle w:val="TextBody"/>
        <w:bidi w:val="0"/>
        <w:spacing w:before="240" w:after="0"/>
        <w:jc w:val="left"/>
        <w:rPr>
          <w:rFonts w:ascii="Times New Roman" w:hAnsi="Times New Roman"/>
          <w:sz w:val="20"/>
        </w:rPr>
      </w:pPr>
      <w:r>
        <w:rPr>
          <w:rFonts w:ascii="Times New Roman" w:hAnsi="Times New Roman"/>
          <w:sz w:val="20"/>
        </w:rPr>
        <w:t>EP-104 technology is designed to work through diffusion of the drug particles through a microns-thin polymer membrane. When the particles are injected at the disease site, extracellular fluid diffuses across the polymer membrane and into the particles themselves, dissolving some of the solid drug core, creating a saturated drug solution inside the microsphere with relatively low drug concentrations outside the microenvironment. Steady-state diffusion of FP across the polymer membrane and into the extracellular space is designed to deliver the drug candidate to the intended area at a prolonged and steady rate with close to constant drug levels. This rate can be controlled by changing the size of the drug core and the properties of the polymer membrane, creating a target drug release profile designed to maximize disease treatment and reduce systemic and local adverse events often accompanying drugs having conventional release profiles.</w:t>
      </w:r>
    </w:p>
    <w:p>
      <w:pPr>
        <w:pStyle w:val="TextBody"/>
        <w:bidi w:val="0"/>
        <w:spacing w:before="240" w:after="0"/>
        <w:jc w:val="left"/>
        <w:rPr>
          <w:rFonts w:ascii="Times New Roman" w:hAnsi="Times New Roman"/>
          <w:sz w:val="20"/>
        </w:rPr>
      </w:pPr>
      <w:r>
        <w:rPr>
          <w:rFonts w:ascii="Times New Roman" w:hAnsi="Times New Roman"/>
          <w:sz w:val="20"/>
        </w:rPr>
        <w:t xml:space="preserve">Another key feature differentiating EP-104 from other extended-release IA corticosteroid formulations is that more than 90% by weight of EP-104 is the active FP component in the investigational drug product, compared to less than 30% in other polymer-based extended-release products which use degradation. </w:t>
      </w:r>
    </w:p>
    <w:p>
      <w:pPr>
        <w:pStyle w:val="TextBody"/>
        <w:bidi w:val="0"/>
        <w:spacing w:before="240" w:after="0"/>
        <w:jc w:val="left"/>
        <w:rPr>
          <w:rFonts w:ascii="Times New Roman" w:hAnsi="Times New Roman"/>
          <w:sz w:val="20"/>
        </w:rPr>
      </w:pPr>
      <w:r>
        <w:rPr>
          <w:rFonts w:ascii="Times New Roman" w:hAnsi="Times New Roman"/>
          <w:sz w:val="20"/>
        </w:rPr>
        <w:t xml:space="preserve">FP, although approved by the FDA, Health Canada, EMA and other regulatory agencies, is not currently approved for use in any formulation for the treatment of symptoms in either EoE or OA. To our knowledge, EP-104GI and EP-104IAR are the only extended-release formulations of FP in development for these conditions. We believe that the EP-104 drug delivery technology platform has the potential to have a beneficial application for EoE, given the already-established efficacy of oral immediate release of FP in this indication. We believe the drug delivery technology platform also has the potential to be an effective treatment for OA based on the proven efficacy of other corticosteroids for this condition. The potential for an improved treatment of EoE and OA with our proprietary formulations of EP-104 is further supported by a continually expanding library of data supporting the value of extended-release steroids. </w:t>
      </w:r>
    </w:p>
    <w:p>
      <w:pPr>
        <w:pStyle w:val="TextBody"/>
        <w:bidi w:val="0"/>
        <w:spacing w:before="240" w:after="0"/>
        <w:jc w:val="left"/>
        <w:rPr>
          <w:rFonts w:ascii="Times New Roman" w:hAnsi="Times New Roman"/>
          <w:sz w:val="20"/>
        </w:rPr>
      </w:pPr>
      <w:r>
        <w:rPr>
          <w:rFonts w:ascii="Times New Roman" w:hAnsi="Times New Roman"/>
          <w:sz w:val="20"/>
        </w:rPr>
        <w:t>EP-104 consists of a vial of EP-104 powder and a separate vial of liquid (referred to as the “</w:t>
      </w:r>
      <w:r>
        <w:rPr>
          <w:rFonts w:ascii="Times New Roman" w:hAnsi="Times New Roman"/>
          <w:b/>
          <w:sz w:val="20"/>
        </w:rPr>
        <w:t>Vehicle</w:t>
      </w:r>
      <w:r>
        <w:rPr>
          <w:rFonts w:ascii="Times New Roman" w:hAnsi="Times New Roman"/>
          <w:sz w:val="20"/>
        </w:rPr>
        <w:t xml:space="preserve">”). Before injection, the Vehicle is mixed with the dry powder to suspend the EP-104 particles; this enables the EP-104 powder to be injected into the patient. In an ongoing stability study, the powder has proven stable for 48 months when stored at room temperature. Batches of EP-104 are currently manufactured at the projected initial batch scale required for launch. </w:t>
      </w:r>
    </w:p>
    <w:p>
      <w:pPr>
        <w:pStyle w:val="TextBody"/>
        <w:bidi w:val="0"/>
        <w:spacing w:before="360" w:after="0"/>
        <w:jc w:val="left"/>
        <w:rPr>
          <w:rFonts w:ascii="Times New Roman" w:hAnsi="Times New Roman"/>
          <w:i/>
          <w:sz w:val="20"/>
        </w:rPr>
      </w:pPr>
      <w:r>
        <w:rPr>
          <w:rFonts w:ascii="Times New Roman" w:hAnsi="Times New Roman"/>
          <w:i/>
          <w:sz w:val="20"/>
        </w:rPr>
        <w:t xml:space="preserve">EP-104GI for Eosinophilic Esophagitis (EoE) </w:t>
      </w:r>
    </w:p>
    <w:p>
      <w:pPr>
        <w:pStyle w:val="TextBody"/>
        <w:bidi w:val="0"/>
        <w:spacing w:before="120" w:after="0"/>
        <w:jc w:val="left"/>
        <w:rPr>
          <w:rFonts w:ascii="Times New Roman" w:hAnsi="Times New Roman"/>
          <w:sz w:val="20"/>
        </w:rPr>
      </w:pPr>
      <w:r>
        <w:rPr>
          <w:rFonts w:ascii="Times New Roman" w:hAnsi="Times New Roman"/>
          <w:sz w:val="20"/>
        </w:rPr>
        <w:t xml:space="preserve">EP-104 is being developed for the treatment of eosinophilic esophagitis (EoE). EoE is characterized by complex type 2 inflammation of the esophagus, leading to difficulty swallowing, pain, and food impaction. Uncontrolled inflammation from EoE can lead to fibrostenosis, where buildup of scarring tissue reduces flexibility and function and may even cause narrowing and blockage of the esophagus. </w:t>
      </w:r>
    </w:p>
    <w:p>
      <w:pPr>
        <w:pStyle w:val="TextBody"/>
        <w:bidi w:val="0"/>
        <w:spacing w:before="360" w:after="0"/>
        <w:jc w:val="left"/>
        <w:rPr>
          <w:rFonts w:ascii="Times New Roman" w:hAnsi="Times New Roman"/>
          <w:i/>
          <w:sz w:val="20"/>
        </w:rPr>
      </w:pPr>
      <w:r>
        <w:rPr>
          <w:rFonts w:ascii="Times New Roman" w:hAnsi="Times New Roman"/>
          <w:i/>
          <w:sz w:val="20"/>
        </w:rPr>
        <w:t xml:space="preserve">Market Size </w:t>
      </w:r>
    </w:p>
    <w:p>
      <w:pPr>
        <w:pStyle w:val="TextBody"/>
        <w:bidi w:val="0"/>
        <w:spacing w:before="120" w:after="0"/>
        <w:jc w:val="left"/>
        <w:rPr>
          <w:rFonts w:ascii="Times New Roman" w:hAnsi="Times New Roman"/>
          <w:sz w:val="20"/>
        </w:rPr>
      </w:pPr>
      <w:r>
        <w:rPr>
          <w:rFonts w:ascii="Times New Roman" w:hAnsi="Times New Roman"/>
          <w:sz w:val="20"/>
        </w:rPr>
        <w:t>EoE has experienced a global increase in incidence and prevalence over the last decades, particularly in the US and Europe. EoE was classified as rare by the U.S. National Organization for Rare Disorders (“</w:t>
      </w:r>
      <w:r>
        <w:rPr>
          <w:rFonts w:ascii="Times New Roman" w:hAnsi="Times New Roman"/>
          <w:b/>
          <w:sz w:val="20"/>
        </w:rPr>
        <w:t>NORD</w:t>
      </w:r>
      <w:r>
        <w:rPr>
          <w:rFonts w:ascii="Times New Roman" w:hAnsi="Times New Roman"/>
          <w:sz w:val="20"/>
        </w:rPr>
        <w:t xml:space="preserve">”), however a 5-fold increase in the prevalence of EoE reported between 2009 and 2022, has resulted in the disease 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raise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of EP-104GI for EoE </w:t>
      </w:r>
    </w:p>
    <w:p>
      <w:pPr>
        <w:pStyle w:val="TextBody"/>
        <w:bidi w:val="0"/>
        <w:spacing w:before="120" w:after="0"/>
        <w:jc w:val="left"/>
        <w:rPr>
          <w:rFonts w:ascii="Times New Roman" w:hAnsi="Times New Roman"/>
          <w:sz w:val="20"/>
        </w:rPr>
      </w:pPr>
      <w:r>
        <w:rPr>
          <w:rFonts w:ascii="Times New Roman" w:hAnsi="Times New Roman"/>
          <w:sz w:val="20"/>
        </w:rPr>
        <w:t>We are currently conducting a Phase 1b/2 clinical trial with EP-104GI in Canada, the Netherlands, Australia, the UK, Switzerland and New Zealand. We also received pre-Investigational New Drug (“</w:t>
      </w:r>
      <w:r>
        <w:rPr>
          <w:rFonts w:ascii="Times New Roman" w:hAnsi="Times New Roman"/>
          <w:b/>
          <w:sz w:val="20"/>
        </w:rPr>
        <w:t>IND</w:t>
      </w:r>
      <w:r>
        <w:rPr>
          <w:rFonts w:ascii="Times New Roman" w:hAnsi="Times New Roman"/>
          <w:sz w:val="20"/>
        </w:rPr>
        <w:t xml:space="preserve">”)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Non-clinical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Non-clinical studies are underway to support the continued clinical investigation of EP-104GI in humans for the treatment of EoE. The pharmacokinetics and safety of EP-104GI are also informed by previous GLP and non-GLP studies conducted in multiple animal species with EP-104IAR.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The RESOLVE clinical study is active at sites in Canada, the Netherlands, Australia, UK and Switzerland and New Zealand. The trial comprises two parts: (1) an open-label Phase 1b/2a dose escalation and (2) a randomized, blinded, vehicle-controlled Phase 2b dose optimization. </w:t>
      </w:r>
    </w:p>
    <w:p>
      <w:pPr>
        <w:pStyle w:val="TextBody"/>
        <w:bidi w:val="0"/>
        <w:spacing w:before="240" w:after="0"/>
        <w:jc w:val="left"/>
        <w:rPr>
          <w:rFonts w:ascii="Times New Roman" w:hAnsi="Times New Roman"/>
          <w:sz w:val="20"/>
        </w:rPr>
      </w:pPr>
      <w:r>
        <w:rPr>
          <w:rFonts w:ascii="Times New Roman" w:hAnsi="Times New Roman"/>
          <w:sz w:val="20"/>
        </w:rPr>
        <w:t>Part One: Enrollment of this phase of the trial is now complete. No dose-limiting toxicities or drug-related serious adverse events (“</w:t>
      </w:r>
      <w:r>
        <w:rPr>
          <w:rFonts w:ascii="Times New Roman" w:hAnsi="Times New Roman"/>
          <w:b/>
          <w:sz w:val="20"/>
        </w:rPr>
        <w:t>SAEs</w:t>
      </w:r>
      <w:r>
        <w:rPr>
          <w:rFonts w:ascii="Times New Roman" w:hAnsi="Times New Roman"/>
          <w:sz w:val="20"/>
        </w:rPr>
        <w:t xml:space="preserve">”) have occurred. Serum glucose and cortisol levels have generally been stable post-dose. Transient decreases in serum cortisol have been observed, however, there has been no indication of adrenal insufficiency through clinical signs or symptoms or via ACTH stimulation tests. Available pharmacokinetic data reveal dose-dependent plasma FP concentrations with near-constant levels achieved after the initial peak. Symptom responses assessed by patient questionnaires have generally improved with increasing EP-104GI dose. In the available data, initial symptom improvements at Week 4 have been maintained or enhanced by Week 24 and have remained below baseline values for up to 52 weeks. Histological assessments at Week 12 demonstrate progressive improvements with increasing EP-104GI dose. The Week 36 data available suggest these histological responses can be maintained. Initial data from lower dose cohorts demonstrated sustained symptom response after 52 weeks of treatment. We anticipate continued data readouts from subsequent dose-escalation cohorts throughout 2026, and ongoing enrolment in the dose optimization portion. </w:t>
      </w:r>
    </w:p>
    <w:p>
      <w:pPr>
        <w:pStyle w:val="TextBody"/>
        <w:bidi w:val="0"/>
        <w:spacing w:before="240" w:after="0"/>
        <w:jc w:val="left"/>
        <w:rPr>
          <w:rFonts w:ascii="Times New Roman" w:hAnsi="Times New Roman"/>
          <w:sz w:val="20"/>
        </w:rPr>
      </w:pPr>
      <w:r>
        <w:rPr>
          <w:rFonts w:ascii="Times New Roman" w:hAnsi="Times New Roman"/>
          <w:sz w:val="20"/>
        </w:rPr>
        <w:t xml:space="preserve">Part Two: The RESOLVE clinical study was amended to add a randomized, blinded, vehicle-controlled, dose optimization portion that will enroll approximately 120 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Subsequent steps in the research program will be determined following analysis of results as well as interaction with key opinion leaders and regulatory authorities. Pre-IND feedback from the FDA received on December 3, 2024 provided clarity on IND-enabling early program requirements. We agreed on the design of an IND-enabling non-clinical study and have initiated this study. We expect that at least one Phase 3 study assessing both efficacy (reduced histological signs and improved symptoms) and safety of EP-104GI will be required to seek marketing approval for EP-104GI for EoE. The development program is subject to further discussions with FDA.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EP-104IAR for Osteoarthritis </w:t>
      </w:r>
    </w:p>
    <w:p>
      <w:pPr>
        <w:pStyle w:val="TextBody"/>
        <w:bidi w:val="0"/>
        <w:spacing w:before="120" w:after="0"/>
        <w:jc w:val="left"/>
        <w:rPr>
          <w:rFonts w:ascii="Times New Roman" w:hAnsi="Times New Roman"/>
          <w:sz w:val="20"/>
        </w:rPr>
      </w:pPr>
      <w:r>
        <w:rPr>
          <w:rFonts w:ascii="Times New Roman" w:hAnsi="Times New Roman"/>
          <w:sz w:val="20"/>
        </w:rPr>
        <w:t>EP-104IAR has been evaluated in two clinical studies in OA patients, including a double-blind, placebo-controlled clinical study (protocol EP-104IAR-201) that assessed the efficacy, safety and PK of a single 25 mg dose of EP-104IAR in 318 patients with moderate knee OA (the “</w:t>
      </w:r>
      <w:r>
        <w:rPr>
          <w:rFonts w:ascii="Times New Roman" w:hAnsi="Times New Roman"/>
          <w:b/>
          <w:sz w:val="20"/>
        </w:rPr>
        <w:t>SPRINGBOARD study</w:t>
      </w:r>
      <w:r>
        <w:rPr>
          <w:rFonts w:ascii="Times New Roman" w:hAnsi="Times New Roman"/>
          <w:sz w:val="20"/>
        </w:rPr>
        <w:t xml:space="preserve">”). Top-line data readout was positive, and was announced on June 26, 2023. Results of the study have been published in </w:t>
      </w:r>
      <w:r>
        <w:rPr>
          <w:rFonts w:ascii="Times New Roman" w:hAnsi="Times New Roman"/>
          <w:i/>
          <w:sz w:val="20"/>
        </w:rPr>
        <w:t>The Lancet Rheumatology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we successfully engaged with the FDA in an End-of-Phase-2 meeting to discuss results from the SPRINGBOARD study and to discuss the necessary clinical and non-clinical activities to support an NDA for EP-104IAR. </w:t>
      </w:r>
    </w:p>
    <w:p>
      <w:pPr>
        <w:pStyle w:val="TextBody"/>
        <w:bidi w:val="0"/>
        <w:spacing w:before="240" w:after="0"/>
        <w:jc w:val="left"/>
        <w:rPr>
          <w:rFonts w:ascii="Times New Roman" w:hAnsi="Times New Roman"/>
          <w:sz w:val="20"/>
        </w:rPr>
      </w:pPr>
      <w:r>
        <w:rPr>
          <w:rFonts w:ascii="Times New Roman" w:hAnsi="Times New Roman"/>
          <w:sz w:val="20"/>
        </w:rPr>
        <w:t xml:space="preserve">We completed a strategic evaluation for the development and commercialization of the EP-104IAR asset. This included an assessment of the remaining development pathway to support an NDA, a comprehensive analysis of the commercial landscape including global pricing dynamics and potential differences in pricing between EP-104GI and EP-104IAR. We also considered the interest from potential partnering companies for global and regional opportunities, and the potential for a partnership for EP-104IAR to create discordant demands for development and pricing of each product. Based on several factors, including the potential risk EP-104IAR could have on EP-104GI commercial opportunity with respect to cross over utilization, we have decided to pause the development and partnering discussions with EP-104IAR until we determine that the risk can be adequately addressed. </w:t>
      </w:r>
    </w:p>
    <w:p>
      <w:pPr>
        <w:pStyle w:val="TextBody"/>
        <w:bidi w:val="0"/>
        <w:spacing w:before="360" w:after="0"/>
        <w:jc w:val="left"/>
        <w:rPr>
          <w:rFonts w:ascii="Times New Roman" w:hAnsi="Times New Roman"/>
          <w:i/>
          <w:sz w:val="20"/>
        </w:rPr>
      </w:pPr>
      <w:r>
        <w:rPr>
          <w:rFonts w:ascii="Times New Roman" w:hAnsi="Times New Roman"/>
          <w:i/>
          <w:sz w:val="20"/>
        </w:rPr>
        <w:t xml:space="preserve">Lifecycle Opportunities for EP-104 Products </w:t>
      </w:r>
    </w:p>
    <w:p>
      <w:pPr>
        <w:pStyle w:val="TextBody"/>
        <w:bidi w:val="0"/>
        <w:spacing w:before="120" w:after="0"/>
        <w:jc w:val="left"/>
        <w:rPr>
          <w:rFonts w:ascii="Times New Roman" w:hAnsi="Times New Roman"/>
          <w:sz w:val="20"/>
        </w:rPr>
      </w:pPr>
      <w:r>
        <w:rPr>
          <w:rFonts w:ascii="Times New Roman" w:hAnsi="Times New Roman"/>
          <w:sz w:val="20"/>
        </w:rPr>
        <w:t xml:space="preserve">Corticosteroids are broadly used for various indications that may benefit from a targeted delivery and extended-release profile with minimal adverse events. Natural lifecycle extensions for EP-104 products could include other inflammatory arthropathies, or other GI-related inflammatory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Eupraxia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focus over the 24 months following the date of this MD&amp;A will be the execution of the EP-104 development programs, including: </w:t>
      </w:r>
    </w:p>
    <w:p>
      <w:pPr>
        <w:pStyle w:val="TextBody"/>
        <w:bidi w:val="0"/>
        <w:spacing w:before="240" w:after="0"/>
        <w:jc w:val="left"/>
        <w:rPr>
          <w:rFonts w:ascii="Times New Roman" w:hAnsi="Times New Roman"/>
          <w:sz w:val="20"/>
        </w:rPr>
      </w:pPr>
      <w:r>
        <w:rPr>
          <w:rFonts w:ascii="Times New Roman" w:hAnsi="Times New Roman"/>
          <w:sz w:val="20"/>
        </w:rPr>
        <w:t xml:space="preserve">EP-104GI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Phase 1b/2a RESOLVE clinical study to evaluate the safety and effectiveness of EP-104GI in the treatment of EoE; Continuing to follow patients and receive results throughout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enrollment of patients into the Phase 2b randomized, placebo-controlled part of the RESOLVE trial to further assess the optimal dose(s).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non-clinical work to support filing an IND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Optimize and manufacture material to support EP-104GI clinical trials, including development of a new vehicle better suited to the location and mode of injection;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a Phase 3 program to evaluate the effectiveness and safety of EP-104GI in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up to two clinical trial programs in additional indications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EP-104 Platform: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strengthen the IP portfolio around the EP-104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evaluate portfolio options for EP-104 and the Diffusphere technology platform;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develop the manufacturing process to support all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Completion of Phase 3 development for the EP-104GI program will require additional cash resources. Where appropriate, we may use strategic collaborations or partnerships to accelerate development and maximize the commercial potential of our development programs. In parallel, we intend to seek out-licencing, co-development or marketing partners for our technology, with the potential to expand and exploit its application fully. It is our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Depending on market conditions, this may take the form of co-development or commercialization partnerships, transactional opportunities and/or public financing options. </w:t>
      </w:r>
    </w:p>
    <w:p>
      <w:pPr>
        <w:pStyle w:val="TextBody"/>
        <w:bidi w:val="0"/>
        <w:spacing w:before="240" w:after="0"/>
        <w:jc w:val="left"/>
        <w:rPr>
          <w:rFonts w:ascii="Times New Roman" w:hAnsi="Times New Roman"/>
          <w:sz w:val="20"/>
        </w:rPr>
      </w:pPr>
      <w:r>
        <w:rPr>
          <w:rFonts w:ascii="Times New Roman" w:hAnsi="Times New Roman"/>
          <w:sz w:val="20"/>
        </w:rPr>
        <w:t xml:space="preserve">Development of opportunities to leverage our Diffusphere technology with other APIs is another area of potential growth in the next 24 months. Our technology is potentially compatible with various drugs and therapeutic indications. The pipeline strategy focuses on modulating the release of existing drugs to achieve better clinical outcomes in areas of high medical need. We believe the technology has the potential to be particularly suitable for diseases requiring precisely targeted and controlled localized therapy where broader tissue or systemic exposure should be avoided (e.g., tumour oncology). We have previously investigated indications involving post-surgical pain (EP-105) and post-surgical site infections (EP-201). While both programs demonstrated preclinical evidence of supporting our technology, these programs are currently paused so we can remain focused on the programs described previously in this MD&amp;A.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several pipeline candidates in development with a goal to add two pipeline product candidates over the next 24 months to allow for sustained corporate growth. We expect this to involve a multidisciplinary review of candidate drugs, formulation development, </w:t>
      </w:r>
      <w:r>
        <w:rPr>
          <w:rFonts w:ascii="Times New Roman" w:hAnsi="Times New Roman"/>
          <w:i/>
          <w:sz w:val="20"/>
        </w:rPr>
        <w:t>in vitro</w:t>
      </w:r>
      <w:r>
        <w:rPr>
          <w:rFonts w:ascii="Times New Roman" w:hAnsi="Times New Roman"/>
          <w:sz w:val="20"/>
        </w:rPr>
        <w:t xml:space="preserve"> screening to identify the most promising lead candidates and non-clinical proof-of-concept studies. The information generated from these inquiries will determine whether we should proceed with further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Significant Company Events </w:t>
      </w:r>
    </w:p>
    <w:p>
      <w:pPr>
        <w:pStyle w:val="TextBody"/>
        <w:bidi w:val="0"/>
        <w:spacing w:before="120" w:after="0"/>
        <w:jc w:val="left"/>
        <w:rPr>
          <w:rFonts w:ascii="Times New Roman" w:hAnsi="Times New Roman"/>
          <w:sz w:val="20"/>
        </w:rPr>
      </w:pPr>
      <w:r>
        <w:rPr>
          <w:rFonts w:ascii="Times New Roman" w:hAnsi="Times New Roman"/>
          <w:sz w:val="20"/>
        </w:rPr>
        <w:t xml:space="preserve">On April 21, 2026, the Company announced nine-month tissue health and symptom data from the highest dose cohort (Cohort 9) in its ongoing Phase 1b/2a RESOLVE trial in EoE. At 36 weeks, patients in Cohort 9 (n=3) demonstrated a robust response in both tissue health and symptom response compared to their baseline levels. Patients in Cohort 9 also demonstrated the highest response in tissue health at week 36 compared to all other dose cohorts in the RESOLVE trial. Clinical remission in symptoms was maintained in 66% of the patients (2 of 3) in Cohort 9 at week 36. This level of remission was first achieved at week 8 and was maintained through 36 weeks. </w:t>
      </w:r>
    </w:p>
    <w:p>
      <w:pPr>
        <w:pStyle w:val="TextBody"/>
        <w:bidi w:val="0"/>
        <w:spacing w:before="240" w:after="0"/>
        <w:jc w:val="left"/>
        <w:rPr>
          <w:rFonts w:ascii="Times New Roman" w:hAnsi="Times New Roman"/>
          <w:sz w:val="20"/>
        </w:rPr>
      </w:pPr>
      <w:r>
        <w:rPr>
          <w:rFonts w:ascii="Times New Roman" w:hAnsi="Times New Roman"/>
          <w:sz w:val="20"/>
        </w:rPr>
        <w:t xml:space="preserve">On May 1, 2026, the Company announced the appointment of Dr Jeymi Tambiah as Chief Medical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5, 2026, the Company announced EREFS Data from its Ongoing Phase 1b/2a RESOLVE Trial in Eosinophilic Esophagitis at Digestive Disease Week (DDW). EREFS is a standardized visual scoring system that gastroenterologists use when performing an endoscopy in EoE patients to assess the severity of inflammation and fibrosis in the esophagus. EREFS data reported by Eupraxia demonstrated a relationship between the number of injections of EP-104GI and the overall improvements in the EREFS findings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May 6, 2026 the Company announced EoEHSS Sub Scores Data from its Ongoing Phase 1b/2a RESOLVE Trial in Eosinophilic Esophagitis at Digestive Disease Week (DDW). EoEHSS is a standardized method used to monitor esophageal tissue damage in EoE patients. Sub scores of EoEHSS are reported to specifically evaluate the tissue inflammation and tissue architecture (which is a measure of fibrosis). The sub-score data from the highest dose cohorts in the RESOLVE study were reported for the first time at DDW and generally demonstrated improvement in both inflammation and fibrosis following treatment with EP-104GI. </w:t>
      </w:r>
    </w:p>
    <w:p>
      <w:pPr>
        <w:pStyle w:val="TextBody"/>
        <w:bidi w:val="0"/>
        <w:spacing w:before="240" w:after="0"/>
        <w:jc w:val="left"/>
        <w:rPr>
          <w:rFonts w:ascii="Times New Roman" w:hAnsi="Times New Roman"/>
          <w:sz w:val="20"/>
        </w:rPr>
      </w:pPr>
      <w:r>
        <w:rPr>
          <w:rFonts w:ascii="Times New Roman" w:hAnsi="Times New Roman"/>
          <w:sz w:val="20"/>
        </w:rPr>
        <w:t xml:space="preserve">On July 7, 2026 the Company announced the appointment of three industry leaders in drug development and commercialisation in Robert Bazemore, Amy Pott and Dr. Helen Thackray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the Company announced the addition of Dr. Jeff Millard as its Executive Vice President, Technical Operations, and that Dr. Alex Therien, who joined Eupraxia in November 2025, will take the helm of Research &amp; Development in his role as Executive Vice President, Research &amp; Development. The Company also announced the transition of its operations from Victoria to a two-hub organization based out of Vancouver and Seattle. As part of this transition, Amanda Malone, based in Victoria, stepped down from her role as Chief Scientific and Operating Officer.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information reported herein for the three and six months ended June 30, 2026 has been derived from the interim consolidated financial statements for the three and six months ended June 30, 2026 prepared in accordance with U.S. GAAP. The Company’s reporting currency is the U.S. dollar. The Canadian dollar continues to be the functional currency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Consolidated Balance Sheet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22"/>
        <w:gridCol w:w="221"/>
        <w:gridCol w:w="60"/>
        <w:gridCol w:w="1278"/>
        <w:gridCol w:w="155"/>
        <w:gridCol w:w="176"/>
        <w:gridCol w:w="73"/>
        <w:gridCol w:w="1410"/>
        <w:gridCol w:w="160"/>
      </w:tblGrid>
      <w:tr>
        <w:trPr/>
        <w:tc>
          <w:tcPr>
            <w:tcW w:w="422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r>
              <w:rPr/>
              <w:br/>
            </w:r>
            <w:r>
              <w:rPr>
                <w:b/>
              </w:rPr>
              <w:t>$</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r>
              <w:rPr/>
              <w:br/>
            </w:r>
            <w:r>
              <w:rPr>
                <w:b/>
              </w:rPr>
              <w:t>$</w:t>
            </w:r>
          </w:p>
        </w:tc>
        <w:tc>
          <w:tcPr>
            <w:tcW w:w="160" w:type="dxa"/>
            <w:tcBorders/>
            <w:vAlign w:val="bottom"/>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52,426,167</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80,563,482</w:t>
            </w:r>
          </w:p>
        </w:tc>
        <w:tc>
          <w:tcPr>
            <w:tcW w:w="160" w:type="dxa"/>
            <w:tcBorders/>
            <w:shd w:fill="CCEEFF" w:val="clear"/>
            <w:vAlign w:val="bottom"/>
          </w:tcPr>
          <w:p>
            <w:pPr>
              <w:pStyle w:val="TableContents"/>
              <w:bidi w:val="0"/>
              <w:spacing w:before="0" w:after="283"/>
              <w:jc w:val="left"/>
              <w:rPr/>
            </w:pPr>
            <w:r>
              <w:rPr/>
              <w:t> </w:t>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81,234,688</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139,907,536</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86,150,008</w:t>
            </w:r>
          </w:p>
        </w:tc>
        <w:tc>
          <w:tcPr>
            <w:tcW w:w="160" w:type="dxa"/>
            <w:tcBorders/>
            <w:shd w:fill="CCEEFF" w:val="clear"/>
            <w:vAlign w:val="bottom"/>
          </w:tcPr>
          <w:p>
            <w:pPr>
              <w:pStyle w:val="TableContents"/>
              <w:bidi w:val="0"/>
              <w:spacing w:before="0" w:after="283"/>
              <w:jc w:val="left"/>
              <w:rPr/>
            </w:pPr>
            <w:r>
              <w:rPr/>
              <w:t> </w:t>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Equity attributable to owners of the Company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131,276,998</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82,041,436</w:t>
            </w:r>
          </w:p>
        </w:tc>
        <w:tc>
          <w:tcPr>
            <w:tcW w:w="160" w:type="dxa"/>
            <w:tcBorders/>
            <w:vAlign w:val="bottom"/>
          </w:tcPr>
          <w:p>
            <w:pPr>
              <w:pStyle w:val="TableContents"/>
              <w:bidi w:val="0"/>
              <w:spacing w:before="0" w:after="283"/>
              <w:jc w:val="left"/>
              <w:rPr/>
            </w:pPr>
            <w:r>
              <w:rPr/>
              <w:t> </w:t>
            </w:r>
          </w:p>
        </w:tc>
      </w:tr>
      <w:tr>
        <w:trPr/>
        <w:tc>
          <w:tcPr>
            <w:tcW w:w="42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(1,603,236</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(1,595,343</w:t>
            </w:r>
          </w:p>
        </w:tc>
        <w:tc>
          <w:tcPr>
            <w:tcW w:w="160" w:type="dxa"/>
            <w:tcBorders/>
            <w:shd w:fill="CCEEFF" w:val="clear"/>
            <w:vAlign w:val="bottom"/>
          </w:tcPr>
          <w:p>
            <w:pPr>
              <w:pStyle w:val="TableContents"/>
              <w:bidi w:val="0"/>
              <w:spacing w:before="0" w:after="283"/>
              <w:jc w:val="left"/>
              <w:rPr/>
            </w:pPr>
            <w:r>
              <w:rPr/>
              <w:t>) </w:t>
            </w:r>
          </w:p>
        </w:tc>
      </w:tr>
      <w:tr>
        <w:trPr/>
        <w:tc>
          <w:tcPr>
            <w:tcW w:w="4222"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129,673,762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80,446,093</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Cash and cash equivalents along with short-term investments increased by $53,097,373 from December 31, 2025. This increase was attributable primarily to the proceeds of the public offering of Common Shares which closed on February 20, 2026 (the “</w:t>
      </w:r>
      <w:r>
        <w:rPr>
          <w:rFonts w:ascii="Times New Roman" w:hAnsi="Times New Roman"/>
          <w:b/>
          <w:sz w:val="20"/>
        </w:rPr>
        <w:t>2026 Offering”</w:t>
      </w:r>
      <w:r>
        <w:rPr>
          <w:rFonts w:ascii="Times New Roman" w:hAnsi="Times New Roman"/>
          <w:sz w:val="20"/>
        </w:rPr>
        <w:t xml:space="preserve">) of $58,634,895 (net of transaction costs) and proceeds from the exercise of common share purchase warrants of $16,834,083 for the six months ended June 30, 2026 which was partially offset by the Company’s use of cash in operations of $23,239,897. Total assets increased by $53,757,528 as at June 30, 2026 from December 31, 2025. This increase was primarily due to the increase in cash and cash equivalents as well as short-term investments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pay any dividends or make any distributions to shareholders in any of the above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w:t>
      </w:r>
      <w:r>
        <w:rPr>
          <w:rFonts w:ascii="Times New Roman" w:hAnsi="Times New Roman"/>
          <w:i/>
          <w:sz w:val="20"/>
        </w:rPr>
        <w:t>elected Consolidated Statements of Operations and Comprehensive Loss Data</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96"/>
        <w:gridCol w:w="155"/>
        <w:gridCol w:w="70"/>
        <w:gridCol w:w="1376"/>
        <w:gridCol w:w="155"/>
        <w:gridCol w:w="128"/>
        <w:gridCol w:w="77"/>
        <w:gridCol w:w="1370"/>
        <w:gridCol w:w="155"/>
        <w:gridCol w:w="128"/>
        <w:gridCol w:w="59"/>
        <w:gridCol w:w="1208"/>
        <w:gridCol w:w="155"/>
        <w:gridCol w:w="128"/>
        <w:gridCol w:w="60"/>
        <w:gridCol w:w="1208"/>
        <w:gridCol w:w="160"/>
      </w:tblGrid>
      <w:tr>
        <w:trPr/>
        <w:tc>
          <w:tcPr>
            <w:tcW w:w="2796"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9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2025</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2025</w:t>
            </w:r>
          </w:p>
        </w:tc>
        <w:tc>
          <w:tcPr>
            <w:tcW w:w="160" w:type="dxa"/>
            <w:tcBorders/>
            <w:vAlign w:val="bottom"/>
          </w:tcPr>
          <w:p>
            <w:pPr>
              <w:pStyle w:val="TableContents"/>
              <w:bidi w:val="0"/>
              <w:spacing w:before="0" w:after="283"/>
              <w:jc w:val="left"/>
              <w:rPr/>
            </w:pPr>
            <w:r>
              <w:rPr/>
              <w:t> </w:t>
            </w:r>
          </w:p>
        </w:tc>
      </w:tr>
      <w:tr>
        <w:trPr/>
        <w:tc>
          <w:tcPr>
            <w:tcW w:w="279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47"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bidi w:val="0"/>
              <w:spacing w:before="0" w:after="283"/>
              <w:jc w:val="center"/>
              <w:rPr>
                <w:b/>
              </w:rPr>
            </w:pPr>
            <w:r>
              <w:rPr>
                <w:b/>
              </w:rPr>
              <w:t>$</w:t>
            </w:r>
          </w:p>
        </w:tc>
        <w:tc>
          <w:tcPr>
            <w:tcW w:w="160" w:type="dxa"/>
            <w:tcBorders/>
            <w:vAlign w:val="bottom"/>
          </w:tcPr>
          <w:p>
            <w:pPr>
              <w:pStyle w:val="TableContents"/>
              <w:bidi w:val="0"/>
              <w:spacing w:before="0" w:after="283"/>
              <w:jc w:val="left"/>
              <w:rPr/>
            </w:pPr>
            <w:r>
              <w:rPr/>
              <w:t> </w:t>
            </w:r>
          </w:p>
        </w:tc>
      </w:tr>
      <w:tr>
        <w:trPr/>
        <w:tc>
          <w:tcPr>
            <w:tcW w:w="2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796" w:type="dxa"/>
            <w:tcBorders/>
          </w:tcPr>
          <w:p>
            <w:pPr>
              <w:pStyle w:val="TableContents"/>
              <w:bidi w:val="0"/>
              <w:spacing w:before="0" w:after="0"/>
              <w:jc w:val="left"/>
              <w:rPr>
                <w:rFonts w:ascii="Times New Roman" w:hAnsi="Times New Roman"/>
                <w:sz w:val="20"/>
              </w:rPr>
            </w:pPr>
            <w:r>
              <w:rPr>
                <w:rFonts w:ascii="Times New Roman" w:hAnsi="Times New Roman"/>
                <w:sz w:val="20"/>
              </w:rPr>
              <w:t>Net loss for the period – Owners of the Company</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(14,486,955</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(8,740,916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(27,140,386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(15,503,524</w:t>
            </w:r>
          </w:p>
        </w:tc>
        <w:tc>
          <w:tcPr>
            <w:tcW w:w="160" w:type="dxa"/>
            <w:tcBorders/>
            <w:vAlign w:val="bottom"/>
          </w:tcPr>
          <w:p>
            <w:pPr>
              <w:pStyle w:val="TableContents"/>
              <w:bidi w:val="0"/>
              <w:spacing w:before="0" w:after="283"/>
              <w:jc w:val="left"/>
              <w:rPr/>
            </w:pPr>
            <w:r>
              <w:rPr/>
              <w:t>) </w:t>
            </w:r>
          </w:p>
        </w:tc>
      </w:tr>
      <w:tr>
        <w:trPr/>
        <w:tc>
          <w:tcPr>
            <w:tcW w:w="2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for the period – Non-controlling interest</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(6,478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(6,767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(7,893</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(11,434</w:t>
            </w:r>
          </w:p>
        </w:tc>
        <w:tc>
          <w:tcPr>
            <w:tcW w:w="160" w:type="dxa"/>
            <w:tcBorders/>
            <w:shd w:fill="CCEEFF" w:val="clear"/>
            <w:vAlign w:val="bottom"/>
          </w:tcPr>
          <w:p>
            <w:pPr>
              <w:pStyle w:val="TableContents"/>
              <w:bidi w:val="0"/>
              <w:spacing w:before="0" w:after="283"/>
              <w:jc w:val="left"/>
              <w:rPr/>
            </w:pPr>
            <w:r>
              <w:rPr/>
              <w:t>) </w:t>
            </w:r>
          </w:p>
        </w:tc>
      </w:tr>
      <w:tr>
        <w:trPr/>
        <w:tc>
          <w:tcPr>
            <w:tcW w:w="2796" w:type="dxa"/>
            <w:tcBorders/>
          </w:tcPr>
          <w:p>
            <w:pPr>
              <w:pStyle w:val="TableContents"/>
              <w:bidi w:val="0"/>
              <w:spacing w:before="0" w:after="0"/>
              <w:jc w:val="left"/>
              <w:rPr>
                <w:rFonts w:ascii="Times New Roman" w:hAnsi="Times New Roman"/>
                <w:sz w:val="20"/>
              </w:rPr>
            </w:pPr>
            <w:r>
              <w:rPr>
                <w:rFonts w:ascii="Times New Roman" w:hAnsi="Times New Roman"/>
                <w:sz w:val="20"/>
              </w:rPr>
              <w:t>Net loss for the period</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(14,493,433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(8,747,683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(27,148,279</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(15,514,958</w:t>
            </w:r>
          </w:p>
        </w:tc>
        <w:tc>
          <w:tcPr>
            <w:tcW w:w="160" w:type="dxa"/>
            <w:tcBorders/>
            <w:vAlign w:val="bottom"/>
          </w:tcPr>
          <w:p>
            <w:pPr>
              <w:pStyle w:val="TableContents"/>
              <w:bidi w:val="0"/>
              <w:spacing w:before="0" w:after="283"/>
              <w:jc w:val="left"/>
              <w:rPr/>
            </w:pPr>
            <w:r>
              <w:rPr/>
              <w:t>) </w:t>
            </w:r>
          </w:p>
        </w:tc>
      </w:tr>
      <w:tr>
        <w:trPr/>
        <w:tc>
          <w:tcPr>
            <w:tcW w:w="2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 for the period</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(17,022,279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(7,412,661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(32,116,549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(14,141,772</w:t>
            </w:r>
          </w:p>
        </w:tc>
        <w:tc>
          <w:tcPr>
            <w:tcW w:w="160" w:type="dxa"/>
            <w:tcBorders/>
            <w:shd w:fill="CCEEFF" w:val="clear"/>
            <w:vAlign w:val="bottom"/>
          </w:tcPr>
          <w:p>
            <w:pPr>
              <w:pStyle w:val="TableContents"/>
              <w:bidi w:val="0"/>
              <w:spacing w:before="0" w:after="283"/>
              <w:jc w:val="left"/>
              <w:rPr/>
            </w:pPr>
            <w:r>
              <w:rPr/>
              <w:t>) </w:t>
            </w:r>
          </w:p>
        </w:tc>
      </w:tr>
      <w:tr>
        <w:trPr/>
        <w:tc>
          <w:tcPr>
            <w:tcW w:w="2796"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 basic and diluted – Owners of the Company</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(0.23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(0.26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(0.46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(0.47</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net loss for the three months ended June 30, 2026 increased by $5,745,750 when compared to the three months ended June 30, 2025, primarily due to an increase in research and development costs of $7,608,390 as well as an increase in general and administrative costs of $2,230,684 partially offset by an increase in other income of $4,118,124. </w:t>
      </w:r>
    </w:p>
    <w:p>
      <w:pPr>
        <w:pStyle w:val="TextBody"/>
        <w:bidi w:val="0"/>
        <w:spacing w:before="240" w:after="0"/>
        <w:jc w:val="left"/>
        <w:rPr>
          <w:rFonts w:ascii="Times New Roman" w:hAnsi="Times New Roman"/>
          <w:sz w:val="20"/>
        </w:rPr>
      </w:pPr>
      <w:r>
        <w:rPr>
          <w:rFonts w:ascii="Times New Roman" w:hAnsi="Times New Roman"/>
          <w:sz w:val="20"/>
        </w:rPr>
        <w:t xml:space="preserve">The net loss for the six months ended June 30, 2026 increased by $11,633,321 when compared to the six months ended June 30, 2025, primarily due to an increase in research and development costs of $14,932,520 as well as an increase in general and administrative costs of $3,739,379 partially offset by an increase in other income of $7,074,489. </w:t>
      </w:r>
    </w:p>
    <w:p>
      <w:pPr>
        <w:pStyle w:val="TextBody"/>
        <w:bidi w:val="0"/>
        <w:spacing w:before="240" w:after="0"/>
        <w:jc w:val="left"/>
        <w:rPr>
          <w:rFonts w:ascii="Times New Roman" w:hAnsi="Times New Roman"/>
          <w:sz w:val="20"/>
        </w:rPr>
      </w:pPr>
      <w:r>
        <w:rPr>
          <w:rFonts w:ascii="Times New Roman" w:hAnsi="Times New Roman"/>
          <w:sz w:val="20"/>
        </w:rPr>
        <w:t xml:space="preserve">While several of the Company’s vendors have inflationary clauses in their contracts, the impact of inflation is considered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Comparison of the Three and Six Months Ended June 30, 2026 and 2025 </w:t>
      </w:r>
    </w:p>
    <w:p>
      <w:pPr>
        <w:pStyle w:val="TextBody"/>
        <w:bidi w:val="0"/>
        <w:spacing w:before="120" w:after="0"/>
        <w:jc w:val="left"/>
        <w:rPr>
          <w:rFonts w:ascii="Times New Roman" w:hAnsi="Times New Roman"/>
          <w:i/>
          <w:sz w:val="20"/>
        </w:rPr>
      </w:pPr>
      <w:r>
        <w:rPr>
          <w:rFonts w:ascii="Times New Roman" w:hAnsi="Times New Roman"/>
          <w:i/>
          <w:sz w:val="20"/>
        </w:rPr>
        <w:t xml:space="preserve">Results of Operations </w:t>
      </w:r>
    </w:p>
    <w:p>
      <w:pPr>
        <w:pStyle w:val="TextBody"/>
        <w:bidi w:val="0"/>
        <w:spacing w:before="0" w:after="0"/>
        <w:jc w:val="left"/>
        <w:rPr/>
      </w:pPr>
      <w:r>
        <w:rPr/>
        <w:t> </w:t>
      </w:r>
    </w:p>
    <w:tbl>
      <w:tblPr>
        <w:tblW w:w="12055" w:type="dxa"/>
        <w:jc w:val="center"/>
        <w:tblInd w:w="0" w:type="dxa"/>
        <w:tblLayout w:type="fixed"/>
        <w:tblCellMar>
          <w:top w:w="0" w:type="dxa"/>
          <w:left w:w="0" w:type="dxa"/>
          <w:bottom w:w="0" w:type="dxa"/>
          <w:right w:w="0" w:type="dxa"/>
        </w:tblCellMar>
      </w:tblPr>
      <w:tblGrid>
        <w:gridCol w:w="1340"/>
        <w:gridCol w:w="120"/>
        <w:gridCol w:w="60"/>
        <w:gridCol w:w="1175"/>
        <w:gridCol w:w="155"/>
        <w:gridCol w:w="60"/>
        <w:gridCol w:w="64"/>
        <w:gridCol w:w="1126"/>
        <w:gridCol w:w="155"/>
        <w:gridCol w:w="60"/>
        <w:gridCol w:w="60"/>
        <w:gridCol w:w="1055"/>
        <w:gridCol w:w="155"/>
        <w:gridCol w:w="60"/>
        <w:gridCol w:w="70"/>
        <w:gridCol w:w="745"/>
        <w:gridCol w:w="155"/>
        <w:gridCol w:w="60"/>
        <w:gridCol w:w="60"/>
        <w:gridCol w:w="1175"/>
        <w:gridCol w:w="155"/>
        <w:gridCol w:w="60"/>
        <w:gridCol w:w="60"/>
        <w:gridCol w:w="1175"/>
        <w:gridCol w:w="155"/>
        <w:gridCol w:w="60"/>
        <w:gridCol w:w="60"/>
        <w:gridCol w:w="1175"/>
        <w:gridCol w:w="155"/>
        <w:gridCol w:w="60"/>
        <w:gridCol w:w="60"/>
        <w:gridCol w:w="815"/>
        <w:gridCol w:w="15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w:t>
              <w:br/>
              <w:t>ended</w:t>
            </w:r>
          </w:p>
          <w:p>
            <w:pPr>
              <w:pStyle w:val="TableContents"/>
              <w:bidi w:val="0"/>
              <w:spacing w:before="0" w:after="20"/>
              <w:jc w:val="center"/>
              <w:rPr>
                <w:rFonts w:ascii="Times New Roman" w:hAnsi="Times New Roman"/>
                <w:b/>
                <w:sz w:val="20"/>
              </w:rPr>
            </w:pPr>
            <w:r>
              <w:rPr>
                <w:rFonts w:ascii="Times New Roman" w:hAnsi="Times New Roman"/>
                <w:b/>
                <w:sz w:val="20"/>
              </w:rPr>
              <w:t>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w:t>
              <w:br/>
              <w:t>ended</w:t>
            </w:r>
          </w:p>
          <w:p>
            <w:pPr>
              <w:pStyle w:val="TableContents"/>
              <w:bidi w:val="0"/>
              <w:spacing w:before="0" w:after="20"/>
              <w:jc w:val="center"/>
              <w:rPr>
                <w:rFonts w:ascii="Times New Roman" w:hAnsi="Times New Roman"/>
                <w:b/>
                <w:sz w:val="20"/>
              </w:rPr>
            </w:pPr>
            <w:r>
              <w:rPr>
                <w:rFonts w:ascii="Times New Roman" w:hAnsi="Times New Roman"/>
                <w:b/>
                <w:sz w:val="20"/>
              </w:rPr>
              <w:t>June 30,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w:t>
              <w:br/>
              <w:t>ended</w:t>
            </w:r>
          </w:p>
          <w:p>
            <w:pPr>
              <w:pStyle w:val="TableContents"/>
              <w:bidi w:val="0"/>
              <w:spacing w:before="0" w:after="20"/>
              <w:jc w:val="center"/>
              <w:rPr>
                <w:rFonts w:ascii="Times New Roman" w:hAnsi="Times New Roman"/>
                <w:b/>
                <w:sz w:val="20"/>
              </w:rPr>
            </w:pPr>
            <w:r>
              <w:rPr>
                <w:rFonts w:ascii="Times New Roman" w:hAnsi="Times New Roman"/>
                <w:b/>
                <w:sz w:val="20"/>
              </w:rPr>
              <w:t>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w:t>
              <w:br/>
              <w:t>ended</w:t>
            </w:r>
          </w:p>
          <w:p>
            <w:pPr>
              <w:pStyle w:val="TableContents"/>
              <w:bidi w:val="0"/>
              <w:spacing w:before="0" w:after="20"/>
              <w:jc w:val="center"/>
              <w:rPr>
                <w:rFonts w:ascii="Times New Roman" w:hAnsi="Times New Roman"/>
                <w:b/>
                <w:sz w:val="20"/>
              </w:rPr>
            </w:pPr>
            <w:r>
              <w:rPr>
                <w:rFonts w:ascii="Times New Roman" w:hAnsi="Times New Roman"/>
                <w:b/>
                <w:sz w:val="20"/>
              </w:rPr>
              <w:t>June 30,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12,805,005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5,196,615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7,608,390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146.4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23,978,961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9,046,441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14,932,520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165.1</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5,298,168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3,067,484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2,230,684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72.7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10,081,257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6,341,878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3,739,379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59.0</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3,640,121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(478,003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4,118,124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(861.5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6,956,225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(118,264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7,074,489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(5,981.9</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before tax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(14,463,052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(8,742,102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(5,720,950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(27,103,993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(15,506,583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(11,597,410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recovery (expense)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(30,381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(5,581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(24,800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444.4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(44,286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(8,375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(35,911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428.8</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(14,493,433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(8,747,683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(5,745,750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(27,148,279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(15,514,958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(11,633,321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(2,528,846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1,335,022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(3,863,868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(289.4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(4,968,270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1,373,186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(6,341,456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(461.8</w:t>
            </w:r>
          </w:p>
        </w:tc>
        <w:tc>
          <w:tcPr>
            <w:tcW w:w="15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(17,022,279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(7,412,661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(9,609,618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129.6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(32,116,549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(14,141,772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(17,974,777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127.1</w:t>
            </w:r>
          </w:p>
        </w:tc>
        <w:tc>
          <w:tcPr>
            <w:tcW w:w="15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Comparing the three months ended June 30, 2026, to the same period in 2025, research and development activities increased by $7,608,390. This increase is primarily due to an increase in activities associated with the EP-104GI program, increases in salaries, bonuses, and benefits due to increased headcount, as well as approximately $1,324,002 related to employment cessation costs related to restructuring operations in anticipation of future growth. In addition to an increase in other research and development costs, and stock-based compensation related to issuance of stock options and restricted share units. </w:t>
      </w:r>
    </w:p>
    <w:p>
      <w:pPr>
        <w:pStyle w:val="TextBody"/>
        <w:bidi w:val="0"/>
        <w:spacing w:before="240" w:after="0"/>
        <w:jc w:val="left"/>
        <w:rPr>
          <w:rFonts w:ascii="Times New Roman" w:hAnsi="Times New Roman"/>
          <w:sz w:val="20"/>
        </w:rPr>
      </w:pPr>
      <w:r>
        <w:rPr>
          <w:rFonts w:ascii="Times New Roman" w:hAnsi="Times New Roman"/>
          <w:sz w:val="20"/>
        </w:rPr>
        <w:t xml:space="preserve">Comparing the six months ended June 30, 2026, to the same period in 2025, research and development activities increased by $14,932,520. This increase is primarily due to an increase in activities associated with the EP-104GI program, increases in salaries, bonuses, and benefits due to increased headcount and salary increases, employment cessation costs as outlined above, an increase in other research and development costs, and stock-based compensation related to issuance of stock options and restricted share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Comparing the three months ended June 30, 2026, to the same period in 2025, general and administrative activities increased by $2,230,684. This increase is primarily due to an increase in stock-based compensation, salaries, bonuses, and benefits, as well as an increase in staff recruitment and other office costs in addition to approximately $79,636 related to employment cessation costs related to restructuring operations in anticipation of future growth. This is partially offset by a decrease in professional fees. </w:t>
      </w:r>
    </w:p>
    <w:p>
      <w:pPr>
        <w:pStyle w:val="TextBody"/>
        <w:bidi w:val="0"/>
        <w:spacing w:before="240" w:after="0"/>
        <w:jc w:val="left"/>
        <w:rPr>
          <w:rFonts w:ascii="Times New Roman" w:hAnsi="Times New Roman"/>
          <w:sz w:val="20"/>
        </w:rPr>
      </w:pPr>
      <w:r>
        <w:rPr>
          <w:rFonts w:ascii="Times New Roman" w:hAnsi="Times New Roman"/>
          <w:sz w:val="20"/>
        </w:rPr>
        <w:t xml:space="preserve">Comparing the six months ended June 30, 2026, to the same period in 2025, general and administrative activities increased by $3,739,379. This increase is primarily due to an increase in staff recruitment and office costs, stock-based compensation, salaries, bonuses, benefits and employment cessation costs at outlined above. This is partially offset by a decrease in professional fees and public company costs.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Income/(Expenses) </w:t>
      </w:r>
    </w:p>
    <w:p>
      <w:pPr>
        <w:pStyle w:val="TextBody"/>
        <w:bidi w:val="0"/>
        <w:spacing w:before="120" w:after="0"/>
        <w:jc w:val="left"/>
        <w:rPr>
          <w:rFonts w:ascii="Times New Roman" w:hAnsi="Times New Roman"/>
          <w:sz w:val="20"/>
        </w:rPr>
      </w:pPr>
      <w:r>
        <w:rPr>
          <w:rFonts w:ascii="Times New Roman" w:hAnsi="Times New Roman"/>
          <w:sz w:val="20"/>
        </w:rPr>
        <w:t xml:space="preserve">Comparing the three months ended June 30, 2026, to the same period in 2025, other income increased by $4,118,124 primarily due to an increased foreign exchange gain of $2,984,858 and the increase of interest income of $1,135,970. </w:t>
      </w:r>
    </w:p>
    <w:p>
      <w:pPr>
        <w:pStyle w:val="TextBody"/>
        <w:bidi w:val="0"/>
        <w:spacing w:before="240" w:after="0"/>
        <w:jc w:val="left"/>
        <w:rPr>
          <w:rFonts w:ascii="Times New Roman" w:hAnsi="Times New Roman"/>
          <w:sz w:val="20"/>
        </w:rPr>
      </w:pPr>
      <w:r>
        <w:rPr>
          <w:rFonts w:ascii="Times New Roman" w:hAnsi="Times New Roman"/>
          <w:sz w:val="20"/>
        </w:rPr>
        <w:t xml:space="preserve">Comparing the six months ended June 30, 2026, to the same period in 2025, other income increased by $7,074,496 primarily due to an increased foreign exchange gain of $5,175,528 and the increase of interest income of $1,900,590.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Quarterly Results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the tables below has been derived from both the Company’s audited consolidated financial statements and unaudited interim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quarterly operating results have varied substantially in the past and may vary substantially in the future. Accordingly, the information below is not necessarily indicative of results for any future quarter. </w:t>
      </w:r>
    </w:p>
    <w:p>
      <w:pPr>
        <w:pStyle w:val="TextBody"/>
        <w:bidi w:val="0"/>
        <w:spacing w:before="0" w:after="0"/>
        <w:jc w:val="left"/>
        <w:rPr/>
      </w:pPr>
      <w:r>
        <w:rPr/>
        <w:t> </w:t>
      </w:r>
    </w:p>
    <w:tbl>
      <w:tblPr>
        <w:tblW w:w="13120" w:type="dxa"/>
        <w:jc w:val="center"/>
        <w:tblInd w:w="0" w:type="dxa"/>
        <w:tblLayout w:type="fixed"/>
        <w:tblCellMar>
          <w:top w:w="0" w:type="dxa"/>
          <w:left w:w="0" w:type="dxa"/>
          <w:bottom w:w="0" w:type="dxa"/>
          <w:right w:w="0" w:type="dxa"/>
        </w:tblCellMar>
      </w:tblPr>
      <w:tblGrid>
        <w:gridCol w:w="2060"/>
        <w:gridCol w:w="120"/>
        <w:gridCol w:w="60"/>
        <w:gridCol w:w="1175"/>
        <w:gridCol w:w="155"/>
        <w:gridCol w:w="60"/>
        <w:gridCol w:w="60"/>
        <w:gridCol w:w="1175"/>
        <w:gridCol w:w="155"/>
        <w:gridCol w:w="60"/>
        <w:gridCol w:w="60"/>
        <w:gridCol w:w="1175"/>
        <w:gridCol w:w="155"/>
        <w:gridCol w:w="60"/>
        <w:gridCol w:w="60"/>
        <w:gridCol w:w="1055"/>
        <w:gridCol w:w="155"/>
        <w:gridCol w:w="60"/>
        <w:gridCol w:w="60"/>
        <w:gridCol w:w="1055"/>
        <w:gridCol w:w="155"/>
        <w:gridCol w:w="60"/>
        <w:gridCol w:w="60"/>
        <w:gridCol w:w="1055"/>
        <w:gridCol w:w="155"/>
        <w:gridCol w:w="60"/>
        <w:gridCol w:w="60"/>
        <w:gridCol w:w="1055"/>
        <w:gridCol w:w="155"/>
        <w:gridCol w:w="60"/>
        <w:gridCol w:w="60"/>
        <w:gridCol w:w="1055"/>
        <w:gridCol w:w="15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Sep 30,</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2024</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Sep 30,</w:t>
              <w:br/>
              <w:t>2024</w:t>
              <w:br/>
              <w:t>$</w:t>
            </w:r>
          </w:p>
        </w:tc>
        <w:tc>
          <w:tcPr>
            <w:tcW w:w="155"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Research &amp; development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12,805,005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11,173,956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7,867,494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4,417,722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5,196,615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3,849,826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4,077,326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4,049,865</w:t>
            </w:r>
          </w:p>
        </w:tc>
        <w:tc>
          <w:tcPr>
            <w:tcW w:w="155"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&amp; administrative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5,298,168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4,783,089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8,295,128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2,465,378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3,067,484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3,274,394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3,404,287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2,223,356</w:t>
            </w:r>
          </w:p>
        </w:tc>
        <w:tc>
          <w:tcPr>
            <w:tcW w:w="15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Total 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(14,493,433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(16,721,336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(6,369,358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(8,747,683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(6,767,275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(7,532,342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(5,991,320</w:t>
            </w:r>
          </w:p>
        </w:tc>
        <w:tc>
          <w:tcPr>
            <w:tcW w:w="155" w:type="dxa"/>
            <w:tcBorders/>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per share, basic and diluted (Owners of the Company)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r>
      <w:tr>
        <w:trPr/>
        <w:tc>
          <w:tcPr>
            <w:tcW w:w="20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incurred net losses in each of its preceding eight quarters as a result of continued activities associated with the Phase 1b/2 clinical trial for EP-104GI.This trend is expected to continue into the future as we make further investments in our EP-104 programs. Research and development expenses are expected to remain high as we undertake clinical trials and incur significant costs for CROs and consultants, and further investment in additional drug candidates in support of broader pipeline development. General and administrative expenses are likely to increase in the future as a result of ongoing costs associated with public company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shows the estimated use of net proceeds from the Company’s 2025 Offering and 2026 Offering excluding the effect of the option to purchase additional common shares compared with the actual use of net proceeds: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September 2025 Financing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3"/>
        <w:gridCol w:w="357"/>
        <w:gridCol w:w="247"/>
        <w:gridCol w:w="1985"/>
        <w:gridCol w:w="60"/>
        <w:gridCol w:w="357"/>
        <w:gridCol w:w="245"/>
        <w:gridCol w:w="1746"/>
        <w:gridCol w:w="65"/>
      </w:tblGrid>
      <w:tr>
        <w:trPr/>
        <w:tc>
          <w:tcPr>
            <w:tcW w:w="2693"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Amount to</w:t>
              <w:br/>
              <w:t>be Expended</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Amount Expended</w:t>
            </w:r>
          </w:p>
        </w:tc>
        <w:tc>
          <w:tcPr>
            <w:tcW w:w="65" w:type="dxa"/>
            <w:tcBorders/>
            <w:vAlign w:val="bottom"/>
          </w:tcPr>
          <w:p>
            <w:pPr>
              <w:pStyle w:val="TableContents"/>
              <w:bidi w:val="0"/>
              <w:spacing w:before="0" w:after="283"/>
              <w:jc w:val="left"/>
              <w:rPr/>
            </w:pPr>
            <w:r>
              <w:rPr/>
              <w:t> </w:t>
            </w:r>
          </w:p>
        </w:tc>
      </w:tr>
      <w:tr>
        <w:trPr/>
        <w:tc>
          <w:tcPr>
            <w:tcW w:w="2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Phase 2 development of EP-104GI</w:t>
            </w:r>
          </w:p>
          <w:p>
            <w:pPr>
              <w:pStyle w:val="TableContents"/>
              <w:bidi w:val="0"/>
              <w:spacing w:before="0" w:after="20"/>
              <w:jc w:val="left"/>
              <w:rPr>
                <w:rFonts w:ascii="Times New Roman" w:hAnsi="Times New Roman"/>
                <w:sz w:val="20"/>
              </w:rPr>
            </w:pPr>
            <w:r>
              <w:rPr>
                <w:rFonts w:ascii="Times New Roman" w:hAnsi="Times New Roman"/>
                <w:sz w:val="20"/>
              </w:rPr>
              <w:t>Nonclinical Studies Enabling Phase 3 and NDA Patient Pool Expansion</w:t>
            </w:r>
          </w:p>
        </w:tc>
        <w:tc>
          <w:tcPr>
            <w:tcW w:w="35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jc w:val="right"/>
              <w:rPr/>
            </w:pPr>
            <w:r>
              <w:rPr/>
              <w:t>28,400,000</w:t>
            </w:r>
          </w:p>
          <w:p>
            <w:pPr>
              <w:pStyle w:val="TableContents"/>
              <w:bidi w:val="0"/>
              <w:spacing w:before="0" w:after="20"/>
              <w:jc w:val="right"/>
              <w:rPr>
                <w:rFonts w:ascii="Times New Roman" w:hAnsi="Times New Roman"/>
                <w:sz w:val="20"/>
              </w:rPr>
            </w:pPr>
            <w:r>
              <w:rPr>
                <w:rFonts w:ascii="Times New Roman" w:hAnsi="Times New Roman"/>
                <w:sz w:val="20"/>
              </w:rPr>
              <w:t>5,000,000</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35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jc w:val="right"/>
              <w:rPr/>
            </w:pPr>
            <w:r>
              <w:rPr/>
              <w:t>4,224,665</w:t>
            </w:r>
          </w:p>
          <w:p>
            <w:pPr>
              <w:pStyle w:val="TableContents"/>
              <w:bidi w:val="0"/>
              <w:spacing w:before="0" w:after="20"/>
              <w:jc w:val="right"/>
              <w:rPr/>
            </w:pPr>
            <w:r>
              <w:rPr/>
              <w:t>— </w:t>
            </w:r>
          </w:p>
        </w:tc>
        <w:tc>
          <w:tcPr>
            <w:tcW w:w="65"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r>
      <w:tr>
        <w:trPr/>
        <w:tc>
          <w:tcPr>
            <w:tcW w:w="269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Phase 2 trial in GI Indications for EP-104GI</w:t>
            </w:r>
          </w:p>
        </w:tc>
        <w:tc>
          <w:tcPr>
            <w:tcW w:w="35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7,100,000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Pipeline</w:t>
            </w:r>
          </w:p>
        </w:tc>
        <w:tc>
          <w:tcPr>
            <w:tcW w:w="35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3,400,000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693"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5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b/>
              </w:rPr>
            </w:pPr>
            <w:r>
              <w:rPr>
                <w:b/>
              </w:rPr>
              <w:t>$</w:t>
            </w:r>
          </w:p>
        </w:tc>
        <w:tc>
          <w:tcPr>
            <w:tcW w:w="1985" w:type="dxa"/>
            <w:tcBorders/>
            <w:vAlign w:val="bottom"/>
          </w:tcPr>
          <w:p>
            <w:pPr>
              <w:pStyle w:val="TableContents"/>
              <w:bidi w:val="0"/>
              <w:spacing w:before="0" w:after="283"/>
              <w:jc w:val="right"/>
              <w:rPr>
                <w:b/>
              </w:rPr>
            </w:pPr>
            <w:r>
              <w:rPr>
                <w:b/>
              </w:rPr>
              <w:t>43,900,000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b/>
              </w:rPr>
            </w:pPr>
            <w:r>
              <w:rPr>
                <w:b/>
              </w:rPr>
              <w:t>$</w:t>
            </w:r>
          </w:p>
        </w:tc>
        <w:tc>
          <w:tcPr>
            <w:tcW w:w="1746" w:type="dxa"/>
            <w:tcBorders/>
            <w:vAlign w:val="bottom"/>
          </w:tcPr>
          <w:p>
            <w:pPr>
              <w:pStyle w:val="TableContents"/>
              <w:bidi w:val="0"/>
              <w:spacing w:before="0" w:after="283"/>
              <w:jc w:val="right"/>
              <w:rPr>
                <w:b/>
              </w:rPr>
            </w:pPr>
            <w:r>
              <w:rPr>
                <w:b/>
              </w:rPr>
              <w:t>4,224,665</w:t>
            </w:r>
          </w:p>
        </w:tc>
        <w:tc>
          <w:tcPr>
            <w:tcW w:w="65" w:type="dxa"/>
            <w:tcBorders/>
            <w:vAlign w:val="bottom"/>
          </w:tcPr>
          <w:p>
            <w:pPr>
              <w:pStyle w:val="TableContents"/>
              <w:bidi w:val="0"/>
              <w:spacing w:before="0" w:after="283"/>
              <w:jc w:val="left"/>
              <w:rPr/>
            </w:pPr>
            <w:r>
              <w:rPr/>
              <w:t> </w:t>
            </w:r>
          </w:p>
        </w:tc>
      </w:tr>
      <w:tr>
        <w:trPr/>
        <w:tc>
          <w:tcPr>
            <w:tcW w:w="2693"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4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allocate the remaining net proceeds to working capital and other general corporate purposes. To date, there have been no material variances to the way the Company intended to use proceeds from the 2025 Offering.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February 2026 Financing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91"/>
        <w:gridCol w:w="416"/>
        <w:gridCol w:w="219"/>
        <w:gridCol w:w="1797"/>
        <w:gridCol w:w="60"/>
        <w:gridCol w:w="416"/>
        <w:gridCol w:w="526"/>
        <w:gridCol w:w="1465"/>
        <w:gridCol w:w="65"/>
      </w:tblGrid>
      <w:tr>
        <w:trPr/>
        <w:tc>
          <w:tcPr>
            <w:tcW w:w="2791"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Amount</w:t>
              <w:br/>
              <w:t>to be Expended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Amount Expended</w:t>
            </w:r>
          </w:p>
        </w:tc>
        <w:tc>
          <w:tcPr>
            <w:tcW w:w="65" w:type="dxa"/>
            <w:tcBorders/>
            <w:vAlign w:val="bottom"/>
          </w:tcPr>
          <w:p>
            <w:pPr>
              <w:pStyle w:val="TableContents"/>
              <w:bidi w:val="0"/>
              <w:spacing w:before="0" w:after="283"/>
              <w:jc w:val="left"/>
              <w:rPr/>
            </w:pPr>
            <w:r>
              <w:rPr/>
              <w:t> </w:t>
            </w:r>
          </w:p>
        </w:tc>
      </w:tr>
      <w:tr>
        <w:trPr/>
        <w:tc>
          <w:tcPr>
            <w:tcW w:w="2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Phase 3 development of EP-104GI</w:t>
            </w:r>
          </w:p>
        </w:tc>
        <w:tc>
          <w:tcPr>
            <w:tcW w:w="4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9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Phase 2 trial in GI Indications for EP-104GI</w:t>
            </w:r>
          </w:p>
        </w:tc>
        <w:tc>
          <w:tcPr>
            <w:tcW w:w="4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12,000,000</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91"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1797" w:type="dxa"/>
            <w:tcBorders/>
            <w:shd w:fill="CCEEFF" w:val="clear"/>
            <w:vAlign w:val="bottom"/>
          </w:tcPr>
          <w:p>
            <w:pPr>
              <w:pStyle w:val="TableContents"/>
              <w:bidi w:val="0"/>
              <w:spacing w:before="0" w:after="283"/>
              <w:jc w:val="right"/>
              <w:rPr>
                <w:b/>
              </w:rPr>
            </w:pPr>
            <w:r>
              <w:rPr>
                <w:b/>
              </w:rPr>
              <w:t>20,000,000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b/>
              </w:rPr>
            </w:pPr>
            <w:r>
              <w:rPr>
                <w:b/>
              </w:rPr>
              <w:t>$</w:t>
            </w:r>
          </w:p>
        </w:tc>
        <w:tc>
          <w:tcPr>
            <w:tcW w:w="146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91"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allocate the remaining net proceeds to working capital and other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Outlook, Management of Cash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cash and cash equivalents of $52,426,167 (December 31, 2025 - $80,563,482) and short-term investments of $81,234,688 (December 31, 2026 - $nil). </w:t>
      </w:r>
    </w:p>
    <w:p>
      <w:pPr>
        <w:pStyle w:val="TextBody"/>
        <w:bidi w:val="0"/>
        <w:spacing w:before="240" w:after="0"/>
        <w:jc w:val="left"/>
        <w:rPr>
          <w:rFonts w:ascii="Times New Roman" w:hAnsi="Times New Roman"/>
          <w:sz w:val="20"/>
        </w:rPr>
      </w:pPr>
      <w:r>
        <w:rPr>
          <w:rFonts w:ascii="Times New Roman" w:hAnsi="Times New Roman"/>
          <w:sz w:val="20"/>
        </w:rPr>
        <w:t xml:space="preserve">The Company’s business does not currently generate revenue or positive cash flows from operations and is reliant on equity and debt financing to provide the necessary cash to continue its research and development activities and ongoing operations. There can be no assurance that financing will be available in the future with terms that are satisfactory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Company’s cash flow forecasts are continually updated to reflect actual cash inflows and outflows to monitor the requirements and timing for additional financial resources. Given the volatility of the Canadian dollar (“</w:t>
      </w:r>
      <w:r>
        <w:rPr>
          <w:rFonts w:ascii="Times New Roman" w:hAnsi="Times New Roman"/>
          <w:b/>
          <w:sz w:val="20"/>
        </w:rPr>
        <w:t>CAD</w:t>
      </w:r>
      <w:r>
        <w:rPr>
          <w:rFonts w:ascii="Times New Roman" w:hAnsi="Times New Roman"/>
          <w:sz w:val="20"/>
        </w:rPr>
        <w:t>”), U.S. dollar (“</w:t>
      </w:r>
      <w:r>
        <w:rPr>
          <w:rFonts w:ascii="Times New Roman" w:hAnsi="Times New Roman"/>
          <w:b/>
          <w:sz w:val="20"/>
        </w:rPr>
        <w:t>USD</w:t>
      </w:r>
      <w:r>
        <w:rPr>
          <w:rFonts w:ascii="Times New Roman" w:hAnsi="Times New Roman"/>
          <w:sz w:val="20"/>
        </w:rPr>
        <w:t>”), and Australian dollar (“</w:t>
      </w:r>
      <w:r>
        <w:rPr>
          <w:rFonts w:ascii="Times New Roman" w:hAnsi="Times New Roman"/>
          <w:b/>
          <w:sz w:val="20"/>
        </w:rPr>
        <w:t>AUD</w:t>
      </w:r>
      <w:r>
        <w:rPr>
          <w:rFonts w:ascii="Times New Roman" w:hAnsi="Times New Roman"/>
          <w:sz w:val="20"/>
        </w:rPr>
        <w:t xml:space="preserve">”) exchange rates, the Company estimates its USD, CAD and AUD expenses for the year and sets aside appropriate levels of each currency. By holding USD, CAD and AUD, the Company remains subject to currency fluctuations which effects its loss during any given quarter.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plans, we believe that our existing cash and cash equivalents along with short-term investments will be sufficient to fund our planned operations into the second half of 2028. The Company continues to evaluate additional measures to preserve and extend its liquidity availability, including leveraging upfront proceeds from potential business development transactions, or securing additional equity or debt financing. The Company expects that its growth plans and completion of Phase 3 development for the EP-104GI program will require further capital. To meet these needs, the Company may pursue similar funding sources, with a focus on maintaining shareholder value and minimizing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Cash Flow for the Six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9"/>
        <w:gridCol w:w="338"/>
        <w:gridCol w:w="62"/>
        <w:gridCol w:w="1336"/>
        <w:gridCol w:w="155"/>
        <w:gridCol w:w="286"/>
        <w:gridCol w:w="62"/>
        <w:gridCol w:w="1336"/>
        <w:gridCol w:w="161"/>
      </w:tblGrid>
      <w:tr>
        <w:trPr/>
        <w:tc>
          <w:tcPr>
            <w:tcW w:w="4019"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1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9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 2026</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9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 2025</w:t>
            </w:r>
          </w:p>
        </w:tc>
        <w:tc>
          <w:tcPr>
            <w:tcW w:w="161"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33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3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(23,239,896</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(14,318,325</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3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(80,224,609</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(335,269</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3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76,059,354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669,701</w:t>
            </w:r>
          </w:p>
        </w:tc>
        <w:tc>
          <w:tcPr>
            <w:tcW w:w="161"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decrease in cash</w:t>
            </w:r>
          </w:p>
        </w:tc>
        <w:tc>
          <w:tcPr>
            <w:tcW w:w="33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(27,405,152</w:t>
            </w:r>
          </w:p>
        </w:tc>
        <w:tc>
          <w:tcPr>
            <w:tcW w:w="155"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(13,983,893</w:t>
            </w:r>
          </w:p>
        </w:tc>
        <w:tc>
          <w:tcPr>
            <w:tcW w:w="161"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effect on cash</w:t>
            </w:r>
          </w:p>
        </w:tc>
        <w:tc>
          <w:tcPr>
            <w:tcW w:w="33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(732,164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648,243</w:t>
            </w:r>
          </w:p>
        </w:tc>
        <w:tc>
          <w:tcPr>
            <w:tcW w:w="16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used in operating activities for the six months ended June 30, 2026 increased by $8,921,571 compared to the same period in the prior year. The primary driver of this increase was the increased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Cash used in investing activities for the six months ended June 30, 2026 increased by $79,889,340 compared to cash used in investing activities for the same period in the prior year. The primary driver of the increase was the purchase of short-term investments during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Cash provided by financing activities for the six months ended June 30, 2026 increased by $75,389,653 compared to the same period in the prior year. The primary driver of the increase was the closing of the 2026 Offering for net proceeds of $58,634,895 that occurred February 20, 2026. In addition, $16,834,078 was received for the exercise of warrants. The primary driver of financing activity cash flows for the six months ended June 30, 2025 was the exercise of warrants for $633,861.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Company have been prepared on a going concern basis with the assumption that we will be able to realize our assets and discharge our liabilities and commitments in the normal course of business. At June 30, 2026, we had cash and cash equivalents of $52,426,167 as well as short-term investments of $81,234,688. We have not yet generated revenue from operations. We incurred a net loss of $27,148,279 during the six months ended June 30, 2026, and as of that date, our accumulated deficit was $196,720,360. As we are in the research and development stage, the recoverability of the costs incurred to date is dependent upon our ability to obtain the necessary funding to complete the research and development of its projects and upon future commercialization or proceeds from the monetization of research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periodically have to raise funds to continue operations and raised proceeds of approximately $58.6 million (net of underwriting commissions and estimated expenses) through a public offering of 7,607,145 common shares of the Company and pre-funded warrants to purchase up to 1,428,571 common shares on February 20, 2026. Although we have been successful in doing so in the past, there is no assurance we will be able to do so in the future. We are active in our pursuit of additional funding through potential partnering and other strategic activities as well as grants to fund future research and development activities, and additional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Our continued operations are dependent on our ability to generate future cash flows or obtain additional funding. There is a risk that in the future, additional financing will not be available on a timely basis or on terms acceptable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Obligations and Other Contractual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make milestone, royalty, and other research and development funding payments under research and development collaboration and other agreements with third parties. These payments are contingent upon the achievement of specific development, regulatory and/or commercial milestones. We have not accrued for these payments as of June 30, 2026 due to the uncertainty over whether these milestones will be achieved. Our significant contingent milestone, royalty and other research and development commitments are as follows: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Auritec License Agreement </w:t>
      </w:r>
    </w:p>
    <w:p>
      <w:pPr>
        <w:pStyle w:val="TextBody"/>
        <w:bidi w:val="0"/>
        <w:spacing w:before="120" w:after="0"/>
        <w:jc w:val="left"/>
        <w:rPr>
          <w:rFonts w:ascii="Times New Roman" w:hAnsi="Times New Roman"/>
          <w:sz w:val="20"/>
        </w:rPr>
      </w:pPr>
      <w:r>
        <w:rPr>
          <w:rFonts w:ascii="Times New Roman" w:hAnsi="Times New Roman"/>
          <w:sz w:val="20"/>
        </w:rPr>
        <w:t>Auritec is a privately held clinical-stage drug delivery company that holds patents in the field of extended-release delivery of drug products utilizing its proprietary drug delivery platform, the “</w:t>
      </w:r>
      <w:r>
        <w:rPr>
          <w:rFonts w:ascii="Times New Roman" w:hAnsi="Times New Roman"/>
          <w:b/>
          <w:sz w:val="20"/>
        </w:rPr>
        <w:t>Plexis Platform</w:t>
      </w:r>
      <w:r>
        <w:rPr>
          <w:rFonts w:ascii="Times New Roman" w:hAnsi="Times New Roman"/>
          <w:sz w:val="20"/>
        </w:rPr>
        <w:t>”. Eupraxia, through its subsidiary, Eupraxia Pharmaceuticals USA LLC (“</w:t>
      </w:r>
      <w:r>
        <w:rPr>
          <w:rFonts w:ascii="Times New Roman" w:hAnsi="Times New Roman"/>
          <w:b/>
          <w:sz w:val="20"/>
        </w:rPr>
        <w:t>Eupraxia LLC</w:t>
      </w:r>
      <w:r>
        <w:rPr>
          <w:rFonts w:ascii="Times New Roman" w:hAnsi="Times New Roman"/>
          <w:sz w:val="20"/>
        </w:rPr>
        <w:t>”), is a party to an amended and restated license agreement dated effective October 9, 2018 (as further amended, the “</w:t>
      </w:r>
      <w:r>
        <w:rPr>
          <w:rFonts w:ascii="Times New Roman" w:hAnsi="Times New Roman"/>
          <w:b/>
          <w:sz w:val="20"/>
        </w:rPr>
        <w:t>Amended and Restated License Agreement</w:t>
      </w:r>
      <w:r>
        <w:rPr>
          <w:rFonts w:ascii="Times New Roman" w:hAnsi="Times New Roman"/>
          <w:sz w:val="20"/>
        </w:rPr>
        <w:t xml:space="preserve">”) with Auritec.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Amended and Restated License Agreement, Auritec has granted Eupraxia LLC an exclusive license (including the right to sublicense to its affiliates and third parties) under the licensed patents owned or controlled by Auritec and for all the technical information and know-how relating to the technology claimed in such patents or possessed by Auritec with respect to the use of the Plexis Platform for the delivery of fluticasone in all medical fields (except for the Excluded Fields (as defined in the Amended and Restated License Agreement)), to develop, make, have made, manufacture, use, commercialize, sell, sub-license, offer for sale, import, and have imported the Licensed Products (as defined in the Amended and Restated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Amended and Restated License Agreement, in consideration for the rights and exclusive license granted to Eupraxia LLC, Eupraxia LLC paid the Upfront Fee (as defined in the Amended and Restated License Agreement) of $5,000,000 with the agreement currently in good standing.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Upfront Fee, pursuant to the Amended and Restated License Agreement, Eupraxia LLC has agreed to pay Auritec up to $30,000,000 upon achievement of certain regulatory and commercial milestones related to Licensed Products under the Amended and Restated License Agreement as well as a royalty of 4% of net sales of Licensed Products by Eupraxia USA or its affiliates, subject to certain reductions.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remaining milestone payment schedule. During the year ended December 31, 2024, the Company paid $5,000,000 to Auritec upon successful completion of the Phase 2b study. No further milestones have been completed. The Company’s EP-104GI program would meet the definition of a Non-OA Indication as referenced in the Milestone Events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0"/>
        <w:gridCol w:w="441"/>
        <w:gridCol w:w="220"/>
        <w:gridCol w:w="1826"/>
        <w:gridCol w:w="62"/>
      </w:tblGrid>
      <w:tr>
        <w:trPr/>
        <w:tc>
          <w:tcPr>
            <w:tcW w:w="439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3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Milestone Event</w:t>
            </w:r>
          </w:p>
        </w:tc>
        <w:tc>
          <w:tcPr>
            <w:tcW w:w="441" w:type="dxa"/>
            <w:tcBorders/>
            <w:vAlign w:val="bottom"/>
          </w:tcPr>
          <w:p>
            <w:pPr>
              <w:pStyle w:val="TableContents"/>
              <w:bidi w:val="0"/>
              <w:spacing w:before="0" w:after="283"/>
              <w:jc w:val="left"/>
              <w:rPr/>
            </w:pPr>
            <w:r>
              <w:rPr/>
              <w:t>  </w:t>
            </w:r>
          </w:p>
        </w:tc>
        <w:tc>
          <w:tcPr>
            <w:tcW w:w="2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Milestone Payment</w:t>
            </w:r>
          </w:p>
        </w:tc>
        <w:tc>
          <w:tcPr>
            <w:tcW w:w="62" w:type="dxa"/>
            <w:tcBorders/>
            <w:vAlign w:val="bottom"/>
          </w:tcPr>
          <w:p>
            <w:pPr>
              <w:pStyle w:val="TableContents"/>
              <w:bidi w:val="0"/>
              <w:spacing w:before="0" w:after="283"/>
              <w:jc w:val="left"/>
              <w:rPr/>
            </w:pPr>
            <w:r>
              <w:rPr/>
              <w:t> </w:t>
            </w:r>
          </w:p>
        </w:tc>
      </w:tr>
      <w:tr>
        <w:trPr/>
        <w:tc>
          <w:tcPr>
            <w:tcW w:w="4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OA Regulatory Approval</w:t>
            </w:r>
          </w:p>
        </w:tc>
        <w:tc>
          <w:tcPr>
            <w:tcW w:w="44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4390" w:type="dxa"/>
            <w:tcBorders/>
          </w:tcPr>
          <w:p>
            <w:pPr>
              <w:pStyle w:val="TableContents"/>
              <w:bidi w:val="0"/>
              <w:spacing w:before="0" w:after="0"/>
              <w:jc w:val="left"/>
              <w:rPr>
                <w:rFonts w:ascii="Times New Roman" w:hAnsi="Times New Roman"/>
                <w:sz w:val="20"/>
              </w:rPr>
            </w:pPr>
            <w:r>
              <w:rPr>
                <w:rFonts w:ascii="Times New Roman" w:hAnsi="Times New Roman"/>
                <w:sz w:val="20"/>
              </w:rPr>
              <w:t>Second OA Regulatory Approval</w:t>
            </w:r>
          </w:p>
          <w:p>
            <w:pPr>
              <w:pStyle w:val="TableContents"/>
              <w:bidi w:val="0"/>
              <w:spacing w:before="0" w:after="20"/>
              <w:jc w:val="left"/>
              <w:rPr>
                <w:rFonts w:ascii="Times New Roman" w:hAnsi="Times New Roman"/>
                <w:sz w:val="20"/>
              </w:rPr>
            </w:pPr>
            <w:r>
              <w:rPr>
                <w:rFonts w:ascii="Times New Roman" w:hAnsi="Times New Roman"/>
                <w:sz w:val="20"/>
              </w:rPr>
              <w:t>Non-OA Indication Regulatory Approval</w:t>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jc w:val="right"/>
              <w:rPr/>
            </w:pPr>
            <w:r>
              <w:rPr/>
              <w:t>5,000,000</w:t>
            </w:r>
          </w:p>
          <w:p>
            <w:pPr>
              <w:pStyle w:val="TableContents"/>
              <w:bidi w:val="0"/>
              <w:spacing w:before="0" w:after="20"/>
              <w:jc w:val="right"/>
              <w:rPr>
                <w:rFonts w:ascii="Times New Roman" w:hAnsi="Times New Roman"/>
                <w:sz w:val="20"/>
              </w:rPr>
            </w:pPr>
            <w:r>
              <w:rPr>
                <w:rFonts w:ascii="Times New Roman" w:hAnsi="Times New Roman"/>
                <w:sz w:val="20"/>
              </w:rPr>
              <w:t>10,000,000</w:t>
            </w:r>
          </w:p>
        </w:tc>
        <w:tc>
          <w:tcPr>
            <w:tcW w:w="62"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4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calendar year in which aggregate Net Sales by Eupraxia LLC, its affiliates and sublicenses exceed $500,000,000</w:t>
            </w:r>
          </w:p>
        </w:tc>
        <w:tc>
          <w:tcPr>
            <w:tcW w:w="44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439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90" w:type="dxa"/>
            <w:tcBorders/>
          </w:tcPr>
          <w:p>
            <w:pPr>
              <w:pStyle w:val="TableContents"/>
              <w:bidi w:val="0"/>
              <w:spacing w:before="0" w:after="0"/>
              <w:jc w:val="left"/>
              <w:rPr>
                <w:rFonts w:ascii="Times New Roman" w:hAnsi="Times New Roman"/>
                <w:b/>
                <w:sz w:val="20"/>
              </w:rPr>
            </w:pPr>
            <w:r>
              <w:rPr>
                <w:rFonts w:ascii="Times New Roman" w:hAnsi="Times New Roman"/>
                <w:b/>
                <w:sz w:val="20"/>
              </w:rPr>
              <w:t>Maximum milestones payable</w:t>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826" w:type="dxa"/>
            <w:tcBorders/>
            <w:vAlign w:val="bottom"/>
          </w:tcPr>
          <w:p>
            <w:pPr>
              <w:pStyle w:val="TableContents"/>
              <w:bidi w:val="0"/>
              <w:spacing w:before="0" w:after="283"/>
              <w:jc w:val="right"/>
              <w:rPr>
                <w:b/>
              </w:rPr>
            </w:pPr>
            <w:r>
              <w:rPr>
                <w:b/>
              </w:rPr>
              <w:t>25,000,000</w:t>
            </w:r>
          </w:p>
        </w:tc>
        <w:tc>
          <w:tcPr>
            <w:tcW w:w="62" w:type="dxa"/>
            <w:tcBorders/>
            <w:vAlign w:val="bottom"/>
          </w:tcPr>
          <w:p>
            <w:pPr>
              <w:pStyle w:val="TableContents"/>
              <w:bidi w:val="0"/>
              <w:spacing w:before="0" w:after="283"/>
              <w:jc w:val="left"/>
              <w:rPr/>
            </w:pPr>
            <w:r>
              <w:rPr/>
              <w:t> </w:t>
            </w:r>
          </w:p>
        </w:tc>
      </w:tr>
      <w:tr>
        <w:trPr/>
        <w:tc>
          <w:tcPr>
            <w:tcW w:w="439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82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Eupraxia LLC has also agreed to pay to Auritec 20% of sublicensing royalties or other consideration based on net sales of Licensed Products. Eupraxia LLC has further agreed to pay Auritec a percentage of Non-Royalty Monetization Revenue (as defined in the Amended and Restated License Agreement), which includes payments received for a sale of Eupraxia LLC or its assets or sale or sublicense of a Licensed Product, which percentage ranges from 10% to 30% depending on the development stage of the most-advanced Licensed Product, up to a maximum of $100,000,000. The following table summarizes the Non-Royalty Monetization Revenue percentage schedule: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874"/>
        <w:gridCol w:w="1024"/>
        <w:gridCol w:w="518"/>
        <w:gridCol w:w="2247"/>
        <w:gridCol w:w="276"/>
      </w:tblGrid>
      <w:tr>
        <w:trPr/>
        <w:tc>
          <w:tcPr>
            <w:tcW w:w="2874" w:type="dxa"/>
            <w:tcBorders/>
            <w:vAlign w:val="center"/>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Execution</w:t>
            </w:r>
          </w:p>
        </w:tc>
        <w:tc>
          <w:tcPr>
            <w:tcW w:w="1024" w:type="dxa"/>
            <w:tcBorders/>
            <w:vAlign w:val="bottom"/>
          </w:tcPr>
          <w:p>
            <w:pPr>
              <w:pStyle w:val="TableContents"/>
              <w:bidi w:val="0"/>
              <w:spacing w:before="0" w:after="283"/>
              <w:jc w:val="left"/>
              <w:rPr/>
            </w:pPr>
            <w:r>
              <w:rPr/>
              <w:t>  </w:t>
            </w:r>
          </w:p>
        </w:tc>
        <w:tc>
          <w:tcPr>
            <w:tcW w:w="27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Non-Royalty</w:t>
              <w:br/>
              <w:t>Monetization Revenue</w:t>
            </w:r>
          </w:p>
        </w:tc>
        <w:tc>
          <w:tcPr>
            <w:tcW w:w="276"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to Successful Completion of a Phase 2b Study</w:t>
            </w:r>
          </w:p>
        </w:tc>
        <w:tc>
          <w:tcPr>
            <w:tcW w:w="102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30</w:t>
            </w:r>
          </w:p>
        </w:tc>
        <w:tc>
          <w:tcPr>
            <w:tcW w:w="276"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2b Study but prior to Successful Completion of a Phase 3 Study</w:t>
            </w:r>
          </w:p>
        </w:tc>
        <w:tc>
          <w:tcPr>
            <w:tcW w:w="102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3 Study but prior to Regulatory Approval of a Product in the Eupraxia Field from FDA in the United States</w:t>
            </w:r>
          </w:p>
        </w:tc>
        <w:tc>
          <w:tcPr>
            <w:tcW w:w="102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15</w:t>
            </w:r>
          </w:p>
        </w:tc>
        <w:tc>
          <w:tcPr>
            <w:tcW w:w="276"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After Regulatory Approval of a Product in the Eupraxia Field from FDA in the United States</w:t>
            </w:r>
          </w:p>
        </w:tc>
        <w:tc>
          <w:tcPr>
            <w:tcW w:w="102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Either party may terminate the Amended and Restated License Agreement in the event of the other party’s bankruptcy, liquidation, or dissolution. Auritec may also terminate upon a material breach of the Amended and Restated License Agreement by Eupraxia LLC that is not cured within 60 days (15 days in the case of a payment breach). Further, if Eupraxia LLC directly or indirectly challenges any claim in any Auritec patent licensed under the Amended and Restated License Agreement, or assist a third party in doing so, Auritec may immediately terminate the Amended and Restated License Agreement. If Auritec directly or indirectly challenges any Eupraxia LLC patent contemplated in the Amended and Restated License Agreement other than as reasonably required to defend Auritec patents as a basis for such challenge, or assists a third party in doing so, Eupraxia LLC may immediately terminate the Amended and Restated License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Lease Agreements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 lease agreement on February 28, 2026 for a 5-year term beginning March 1, 2026 and expiring February 28, 2031 for its head office located at 2198 Yukon St, Vancouver, BC The rental area includes approximately 3,199 square feet of office space and approximately 6,684 square feet of laboratory space. The total rent (including both basic rent and additional rent) for the remaining lease term is anticipated to be $1,395,317 (CAD$1,982,746) and does not reflect the impact of the additional 60-month extension option. Additional rent is subject to adjustment at the end of each lease year based on actual costs incurred. As of April 15, 2026, the head office of the Company has been relocated to the office in Vancouver.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we entered into an agreement to sublease premises at 5300 Carillon Point, Suite 300, Kirkland, WA. for a term of five (5) years beginning in July 2026. The rental area is 6,329 sq. ft. and will be mainly used for office space. The total rent for the remaining sublease term is anticipated to be $2,118,633.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October 21, 2019, we entered into a 5-year lease agreement for its head office located at Suite 201 – 2067 Cadboro Bay Road, Victoria BC, with an expiry date of November 30, 2024. It was subsequently renewed May 13, 2024 for an additional year. On July 15, 2025, we signed a Second Lease Renewal Agreement (“</w:t>
      </w:r>
      <w:r>
        <w:rPr>
          <w:rFonts w:ascii="Times New Roman" w:hAnsi="Times New Roman"/>
          <w:b/>
          <w:sz w:val="20"/>
        </w:rPr>
        <w:t>Renewal Agreement</w:t>
      </w:r>
      <w:r>
        <w:rPr>
          <w:rFonts w:ascii="Times New Roman" w:hAnsi="Times New Roman"/>
          <w:sz w:val="20"/>
        </w:rPr>
        <w:t xml:space="preserve">”) whereby we renewed its lease for our Victoria, BC facility for an additional twelve months commencing December 1, 2025 and ending November 30, 2026. All other terms of the lease remain unchanged. The total rent for the remainder of the lease extension to November 30, 2026 (inclusive of base rent and additional rent costs) is anticipated to be $62,857 (CAD$89,320). Additional rent is subject to adjustment at the end of each lease year based on actual costs incurred. On April 10, 2026, we formally notified the landlord that we would not be renewing the lease for this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transactions with related parties during the six months ended June 30, 2026 and 2025, reportable under U.S. GAAP.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material undisclosed off-balance sheet arrangements that have or are reasonably likely to have, a current or future effect on our results of operations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and Judgments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U.S. GAAP requires management to make estimates, judgments and assumptions that affect the reported amounts of assets and liabilities at the date of the consolidated financial statements and reported amounts of expenses during the reporting year, which, by their nature, are uncertain. Actual outcomes could differ from these estimates. The impacts of such estimates are pervasive throughout the consolidated financial statements, and may require accounting adjustments based on future events. Revisions to accounting estimates are recognized in the year in which the estimate is revised and future periods if the revision affects both current and future years. These estimates are based on historical experience, current and future economic conditions and other factors, including expectations of future events that are believed to be reasonable under the circumstances that affect the reported amounts of assets, liabilities, income and expenses.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Significant assumptions about the future and other sources of estimation uncertainty that management has made at the end of the reporting period, that could result in a material adjustment to the carrying amounts of assets and liabilities in the event that actual results differ from assumptions made, relate to,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options granted are measured at fair value, using the Black-Scholes option pricing model, at the grant date and expensed over the vesting period. In determining the fair value, we make estimates of the expected volatility of the shares, the expected life of the share-based instrument, and an estimated risk-free interest rate.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Critical accounting judgments </w:t>
      </w:r>
    </w:p>
    <w:p>
      <w:pPr>
        <w:pStyle w:val="TextBody"/>
        <w:bidi w:val="0"/>
        <w:spacing w:before="120" w:after="0"/>
        <w:jc w:val="left"/>
        <w:rPr>
          <w:rFonts w:ascii="Times New Roman" w:hAnsi="Times New Roman"/>
          <w:sz w:val="20"/>
        </w:rPr>
      </w:pPr>
      <w:r>
        <w:rPr>
          <w:rFonts w:ascii="Times New Roman" w:hAnsi="Times New Roman"/>
          <w:sz w:val="20"/>
        </w:rPr>
        <w:t xml:space="preserve">Critical accounting judgments are accounting policies that have been identified as being complex or involving subjective judgments or assessments. We made the following critical accounting judgments: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of the functional currency of the Company and its subsidiaries; and </w:t>
            </w:r>
          </w:p>
        </w:tc>
      </w:tr>
    </w:tbl>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Assessment of the appropriateness of the going concern assertion.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This standard requires public business entities to disclose, in the footnotes, a tabular disaggregation of certain expense captions into specific natural categories. The standard is effective for the Company’s annual reporting periods beginning after December 15, 2026 (fiscal year 2027). We do not intend to early adopt this guidance and are currently evaluating the impact that the adoption will have on our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instruments consist of cash and cash equivalents, short-term investments, amounts receivable, accounts payable and accrued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changes to our risk exposures or management of risks during the six months ended June 30, 2026. Our risk exposures and the impact on our financial instruments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one party to a financial instrument will cause a financial loss for the other party by failing to discharge an obligation. We believe we have no significant credit risk, as our cash and cash equivalents and short-term investments, being our primary exposure to credit risk, are held with a large Canadian bank. Our maximum exposure to credit risk is the carrying value of these financial assets. </w:t>
      </w:r>
    </w:p>
    <w:p>
      <w:pPr>
        <w:pStyle w:val="TextBody"/>
        <w:bidi w:val="0"/>
        <w:spacing w:before="360" w:after="0"/>
        <w:jc w:val="left"/>
        <w:rPr>
          <w:rFonts w:ascii="Times New Roman" w:hAnsi="Times New Roman"/>
          <w:i/>
          <w:sz w:val="20"/>
        </w:rPr>
      </w:pPr>
      <w:r>
        <w:rPr>
          <w:rFonts w:ascii="Times New Roman" w:hAnsi="Times New Roman"/>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an entity will encounter difficulty in meeting obligations associated with financial liabilities that are settled by delivering cash or another financial asset. Our approach to managing liquidity risk is to ensure that we will have sufficient liquidity to the extent possible to meet liabilities when due. As at June 30, 2026, we had cash and cash equivalents of $52,426,167 (December 31, 2025 - $80,563,482) and short-term investments of $81,234,688 (December 31, 2025 - $nil) in addition to current liabilities of $8,550,748 (December 31, 2025 - $5,628,005). We continuously consider certain strategic alternatives including, but not limited to, raising additional capital. These decisions are always made in consideration of the needs of the business, and in conjunction with the potential impact on shareholder dilution.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however, that any or all of these alternatives will materialize or that additional funding will be available, if and when needed. </w:t>
      </w:r>
    </w:p>
    <w:p>
      <w:pPr>
        <w:pStyle w:val="TextBody"/>
        <w:bidi w:val="0"/>
        <w:spacing w:before="0" w:after="0"/>
        <w:jc w:val="left"/>
        <w:rPr/>
      </w:pPr>
      <w:r>
        <w:rPr/>
        <w:t> </w:t>
      </w:r>
    </w:p>
    <w:tbl>
      <w:tblPr>
        <w:tblW w:w="8455" w:type="dxa"/>
        <w:jc w:val="center"/>
        <w:tblInd w:w="0" w:type="dxa"/>
        <w:tblLayout w:type="fixed"/>
        <w:tblCellMar>
          <w:top w:w="0" w:type="dxa"/>
          <w:left w:w="0" w:type="dxa"/>
          <w:bottom w:w="0" w:type="dxa"/>
          <w:right w:w="0" w:type="dxa"/>
        </w:tblCellMar>
      </w:tblPr>
      <w:tblGrid>
        <w:gridCol w:w="3050"/>
        <w:gridCol w:w="120"/>
        <w:gridCol w:w="140"/>
        <w:gridCol w:w="980"/>
        <w:gridCol w:w="60"/>
        <w:gridCol w:w="120"/>
        <w:gridCol w:w="210"/>
        <w:gridCol w:w="1475"/>
        <w:gridCol w:w="60"/>
        <w:gridCol w:w="120"/>
        <w:gridCol w:w="140"/>
        <w:gridCol w:w="800"/>
        <w:gridCol w:w="60"/>
        <w:gridCol w:w="120"/>
        <w:gridCol w:w="140"/>
        <w:gridCol w:w="800"/>
        <w:gridCol w:w="6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Contractual Obligations at June 30, 2026</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 1 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 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4-5 years</w:t>
            </w:r>
          </w:p>
        </w:tc>
        <w:tc>
          <w:tcPr>
            <w:tcW w:w="60" w:type="dxa"/>
            <w:tcBorders/>
            <w:vAlign w:val="bottom"/>
          </w:tcPr>
          <w:p>
            <w:pPr>
              <w:pStyle w:val="TableContents"/>
              <w:bidi w:val="0"/>
              <w:spacing w:before="0" w:after="283"/>
              <w:jc w:val="left"/>
              <w:rPr/>
            </w:pPr>
            <w:r>
              <w:rPr/>
              <w:t> </w:t>
            </w:r>
          </w:p>
        </w:tc>
      </w:tr>
      <w:tr>
        <w:trPr/>
        <w:tc>
          <w:tcPr>
            <w:tcW w:w="30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8,390,871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8,390,871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050" w:type="dxa"/>
            <w:tcBorders/>
          </w:tcPr>
          <w:p>
            <w:pPr>
              <w:pStyle w:val="TableContents"/>
              <w:bidi w:val="0"/>
              <w:spacing w:before="0" w:after="0"/>
              <w:jc w:val="left"/>
              <w:rPr>
                <w:rFonts w:ascii="Times New Roman" w:hAnsi="Times New Roman"/>
                <w:sz w:val="20"/>
              </w:rPr>
            </w:pPr>
            <w:r>
              <w:rPr>
                <w:rFonts w:ascii="Times New Roman" w:hAnsi="Times New Roman"/>
                <w:sz w:val="20"/>
              </w:rPr>
              <w:t>Leases(1)</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1,458,174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370,390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888,132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199,652</w:t>
            </w:r>
          </w:p>
        </w:tc>
        <w:tc>
          <w:tcPr>
            <w:tcW w:w="60" w:type="dxa"/>
            <w:tcBorders/>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4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Contractual Obligations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9,849,045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475" w:type="dxa"/>
            <w:tcBorders/>
            <w:shd w:fill="CCEEFF" w:val="clear"/>
            <w:vAlign w:val="bottom"/>
          </w:tcPr>
          <w:p>
            <w:pPr>
              <w:pStyle w:val="TableContents"/>
              <w:bidi w:val="0"/>
              <w:spacing w:before="0" w:after="283"/>
              <w:jc w:val="right"/>
              <w:rPr>
                <w:b/>
              </w:rPr>
            </w:pPr>
            <w:r>
              <w:rPr>
                <w:b/>
              </w:rPr>
              <w:t>8,761,261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888,132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199,652</w:t>
            </w:r>
          </w:p>
        </w:tc>
        <w:tc>
          <w:tcPr>
            <w:tcW w:w="6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4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both basic lease payments as well as payments for property taxes and common area maintenance for the remaining lease term for the Victoria office which goes until November 30, 2026, the Vancouver office and lab which goes until February 28, 2031 and does not include any payments related to the renewal options of each lease.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that the fair value or future cash flows of a financial instrument will fluctuate because of changes in market prices. Market risk comprises three types of risk: interest rate risk, currency risk and other price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 or future cash flows of a financial instrument will fluctuate because of changes in market interest rates. As of June 30, 2026, we had cash and cash equivalents of $52,426,167 and short-term investments of $81,234,688 which are held in term deposits, and bank accounts. Interest rate risk is affected by changes in the general level of interest rates, particularly because the majority of our investments are short-term in nature. Due to the short-term duration the cash and cash equivalent holdings and short-term investments, a 10% change in interest rates would not have a material effect on the fair market value of cash, cash equivalents and short-term investments. In addition, since we also have the ability to hold the cash equivalents and short-term investments until maturity, we would not expect our operating results or cash flows to be affected to any significant degree by the effect of a sudden change in market interest rates since the rates on the cash equivalents and short-term investments remain fixed until maturity. </w:t>
      </w:r>
    </w:p>
    <w:p>
      <w:pPr>
        <w:pStyle w:val="TextBody"/>
        <w:bidi w:val="0"/>
        <w:spacing w:before="360" w:after="0"/>
        <w:jc w:val="left"/>
        <w:rPr>
          <w:rFonts w:ascii="Times New Roman" w:hAnsi="Times New Roman"/>
          <w:i/>
          <w:sz w:val="20"/>
        </w:rPr>
      </w:pPr>
      <w:r>
        <w:rPr>
          <w:rFonts w:ascii="Times New Roman" w:hAnsi="Times New Roman"/>
          <w:i/>
          <w:sz w:val="20"/>
        </w:rPr>
        <w:t xml:space="preserve">Currency risk </w:t>
      </w:r>
    </w:p>
    <w:p>
      <w:pPr>
        <w:pStyle w:val="TextBody"/>
        <w:bidi w:val="0"/>
        <w:spacing w:before="120" w:after="0"/>
        <w:jc w:val="left"/>
        <w:rPr>
          <w:rFonts w:ascii="Times New Roman" w:hAnsi="Times New Roman"/>
          <w:sz w:val="20"/>
        </w:rPr>
      </w:pPr>
      <w:r>
        <w:rPr>
          <w:rFonts w:ascii="Times New Roman" w:hAnsi="Times New Roman"/>
          <w:sz w:val="20"/>
        </w:rPr>
        <w:t xml:space="preserve">Currency risk is the risk that the fair value or future cash flows of a financial instrument will fluctuate because of changes in foreign exchange rates. We are exposed to currency risk due to the frequency of transactions in US dollars and Australian dollars. We manage our foreign currency exposure by maintaining cash balances in Canadian dollars, US dollars and Australian dollars based on anticipated funding requirements. From time to time, we may convert US dollars into Canadian dollars to fund Canadian operating expenditures and purchase Australian dollars to satisfy anticipated expenditures in Australia. We do not currently enter into derivative instruments or other formal hedging arrangements to manage foreign currency risk. Accordingly, fluctuations in foreign exchange rates may adversely affect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At June 30, 2026, we held cash and cash equivalents of $39,589,372 (2025 – $77,988,544), short-term investments of $81,234,688 (2025 - $nil) and had accounts payable and accrued liabilities of $1,689,463 (2025 – $942,201) denominated in US dollars which were translated to Canadian dollars at 1.4210 (2025 – 1.3706). The impact of a 10% change in the exchange rates would have an impact of approximately $11,913,460 (2025 – $7,704,614) on profit or loss. We held cash of $1,740,468 (2025 - $1,449,522), accounts payable and accrued liabilities of $793,785 (2025 - $779,455) and had $797,773 in amounts receivable (2025 - $716,095) denominated in Australian Dollars which were translated into Canadian Dollars at 0.9817 (2025 – 0.9147). The impact of a 10% change in the exchange rate would have an impact of approximately $120,516 (2025 - $92,509) on profit or loss. We also have accounts payable in Euros. The impact of a 10% change in the exchanges of the Euro would have an immaterial effect on future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Other price risk </w:t>
      </w:r>
    </w:p>
    <w:p>
      <w:pPr>
        <w:pStyle w:val="TextBody"/>
        <w:bidi w:val="0"/>
        <w:spacing w:before="120" w:after="0"/>
        <w:jc w:val="left"/>
        <w:rPr>
          <w:rFonts w:ascii="Times New Roman" w:hAnsi="Times New Roman"/>
          <w:sz w:val="20"/>
        </w:rPr>
      </w:pPr>
      <w:r>
        <w:rPr>
          <w:rFonts w:ascii="Times New Roman" w:hAnsi="Times New Roman"/>
          <w:sz w:val="20"/>
        </w:rPr>
        <w:t xml:space="preserve">Other price risk is the risk that the fair value or future cash flows of a financial instrument will fluctuate because of changes in market prices (other than those arising from interest rate risk and foreign currency risk), whether those changes are caused by factors specific to the individual financial instrument or its issuer or by factors affecting all similar financial instruments traded in the market. We are not exposed to significant price risk with respect to commodity or equity prices.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We categorize our financial instruments measured at fair value into one of three different levels depending on the observation of inputs used in the measurement. </w:t>
      </w:r>
    </w:p>
    <w:p>
      <w:pPr>
        <w:pStyle w:val="TextBody"/>
        <w:bidi w:val="0"/>
        <w:spacing w:before="240" w:after="0"/>
        <w:jc w:val="left"/>
        <w:rPr>
          <w:rFonts w:ascii="Times New Roman" w:hAnsi="Times New Roman"/>
          <w:sz w:val="20"/>
        </w:rPr>
      </w:pPr>
      <w:r>
        <w:rPr>
          <w:rFonts w:ascii="Times New Roman" w:hAnsi="Times New Roman"/>
          <w:sz w:val="20"/>
        </w:rPr>
        <w:t xml:space="preserve">Level 1: Fair value is based on unadjusted quoted prices for identical assets or liabilities in active markets. </w:t>
      </w:r>
    </w:p>
    <w:p>
      <w:pPr>
        <w:pStyle w:val="TextBody"/>
        <w:bidi w:val="0"/>
        <w:spacing w:before="120" w:after="0"/>
        <w:jc w:val="left"/>
        <w:rPr>
          <w:rFonts w:ascii="Times New Roman" w:hAnsi="Times New Roman"/>
          <w:sz w:val="20"/>
        </w:rPr>
      </w:pPr>
      <w:r>
        <w:rPr>
          <w:rFonts w:ascii="Times New Roman" w:hAnsi="Times New Roman"/>
          <w:sz w:val="20"/>
        </w:rPr>
        <w:t xml:space="preserve">Level 2: Fair value is based on inputs other than quoted prices included within Level 1 that are observable for the asset or liability, either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Level 3: Fair value is based on valuation techniques that require one or more significant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Our financial instruments consist of cash and cash equivalents, short-term investments, amounts receivable, accounts payable and accrued liabilities. The carrying value of our financial instruments approximate their fair values due to their short-term maturities.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information regarding the classification and carrying values of our financial instruments measured at amortized cost: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5"/>
        <w:gridCol w:w="216"/>
        <w:gridCol w:w="145"/>
        <w:gridCol w:w="1151"/>
        <w:gridCol w:w="60"/>
        <w:gridCol w:w="216"/>
        <w:gridCol w:w="159"/>
        <w:gridCol w:w="1308"/>
        <w:gridCol w:w="65"/>
      </w:tblGrid>
      <w:tr>
        <w:trPr/>
        <w:tc>
          <w:tcPr>
            <w:tcW w:w="443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assets/liabilities</w:t>
            </w:r>
          </w:p>
        </w:tc>
        <w:tc>
          <w:tcPr>
            <w:tcW w:w="21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52,426,167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80,563,482</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81,234,688</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receivable</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688,219</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674,226</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8,390,871</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5,549,553</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The primary risk factors affecting the Company are set forth under the heading “</w:t>
      </w:r>
      <w:r>
        <w:rPr>
          <w:rFonts w:ascii="Times New Roman" w:hAnsi="Times New Roman"/>
          <w:i/>
          <w:sz w:val="20"/>
        </w:rPr>
        <w:t>Risk Factors</w:t>
      </w:r>
      <w:r>
        <w:rPr>
          <w:rFonts w:ascii="Times New Roman" w:hAnsi="Times New Roman"/>
          <w:sz w:val="20"/>
        </w:rPr>
        <w:t xml:space="preserve">” in the AIF.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Share Capital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MD&amp;A, we had 65,906,632 Common Shares issued and 8,295,638 Preferred Shares outstanding. The maximum number of additional Common Shares issuable, should all convertible rights be exercised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12"/>
        <w:gridCol w:w="521"/>
        <w:gridCol w:w="120"/>
        <w:gridCol w:w="2223"/>
        <w:gridCol w:w="63"/>
      </w:tblGrid>
      <w:tr>
        <w:trPr/>
        <w:tc>
          <w:tcPr>
            <w:tcW w:w="4012"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Common Shares Issuable:</w:t>
            </w:r>
          </w:p>
        </w:tc>
        <w:tc>
          <w:tcPr>
            <w:tcW w:w="521" w:type="dxa"/>
            <w:tcBorders/>
            <w:vAlign w:val="bottom"/>
          </w:tcPr>
          <w:p>
            <w:pPr>
              <w:pStyle w:val="TableContents"/>
              <w:bidi w:val="0"/>
              <w:spacing w:before="0" w:after="283"/>
              <w:jc w:val="left"/>
              <w:rPr/>
            </w:pPr>
            <w:r>
              <w:rPr/>
              <w:t>  </w:t>
            </w:r>
          </w:p>
        </w:tc>
        <w:tc>
          <w:tcPr>
            <w:tcW w:w="2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the date of MD&amp;A</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(1)</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7,860,017</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Share Units (2)</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1,549,374</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2013 Warrants (3)</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93,421</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Founders Warrants (4)</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215,000</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Underlying Founders Warrants (5)</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215,000</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Class B Shares (6)</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562,500</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Warrants (7)</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1,428,571</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Shares (8)</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8,295,638</w:t>
            </w:r>
          </w:p>
        </w:tc>
        <w:tc>
          <w:tcPr>
            <w:tcW w:w="63" w:type="dxa"/>
            <w:tcBorders/>
            <w:vAlign w:val="bottom"/>
          </w:tcPr>
          <w:p>
            <w:pPr>
              <w:pStyle w:val="TableContents"/>
              <w:bidi w:val="0"/>
              <w:spacing w:before="0" w:after="283"/>
              <w:jc w:val="left"/>
              <w:rPr/>
            </w:pPr>
            <w:r>
              <w:rPr/>
              <w:t> </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22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Common Shares Issuable</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20,219,521</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22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492"/>
        <w:gridCol w:w="306"/>
      </w:tblGrid>
      <w:tr>
        <w:trPr/>
        <w:tc>
          <w:tcPr>
            <w:tcW w:w="407" w:type="dxa"/>
            <w:tcBorders/>
          </w:tcPr>
          <w:p>
            <w:pPr>
              <w:pStyle w:val="TableContents"/>
              <w:bidi w:val="0"/>
              <w:spacing w:before="0" w:after="283"/>
              <w:jc w:val="left"/>
              <w:rPr/>
            </w:pPr>
            <w:r>
              <w:rPr/>
              <w:t>(1)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Represents 4,943,509 options outstanding under the Company’s stock option plan, each having an exercise price between CAD$1.90 and CAD$8.00 and expiry dates ranging from March 5, 2028 to May 13, 2035 in addition to 2,916,508 options outstanding under the Company’s Omnibus Incentive Plan (“</w:t>
            </w:r>
            <w:r>
              <w:rPr>
                <w:rFonts w:ascii="Times New Roman" w:hAnsi="Times New Roman"/>
                <w:b/>
                <w:sz w:val="20"/>
              </w:rPr>
              <w:t>OIP</w:t>
            </w:r>
            <w:r>
              <w:rPr>
                <w:rFonts w:ascii="Times New Roman" w:hAnsi="Times New Roman"/>
                <w:sz w:val="20"/>
              </w:rPr>
              <w:t xml:space="preserve">”), each having an exercise price between CAD$8.63 and CAD$9.46 and expiry dates ranging from December 15, 2035 to July 13, 2036. </w:t>
            </w:r>
          </w:p>
        </w:tc>
        <w:tc>
          <w:tcPr>
            <w:tcW w:w="30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1,549,374 Restricted Share Units outstanding under the Company’s OIP.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 purchase warrants to acquire up to 93,421 Common Shares at an exercise price of CAD$0.7572 per share, with each such common share purchase warrant expiring 120 days after the warrant holder or the holder’s spouse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Represents common share purchase warrants to acquire 215,000 units, with each unit consisting of one Common Share and one underlying common share purchase warrant (an “</w:t>
            </w:r>
            <w:r>
              <w:rPr>
                <w:rFonts w:ascii="Times New Roman" w:hAnsi="Times New Roman"/>
                <w:b/>
                <w:sz w:val="20"/>
              </w:rPr>
              <w:t>Underlying Founder Warrant</w:t>
            </w:r>
            <w:r>
              <w:rPr>
                <w:rFonts w:ascii="Times New Roman" w:hAnsi="Times New Roman"/>
                <w:sz w:val="20"/>
              </w:rPr>
              <w:t xml:space="preserve">”) at an exercise price of CAD$0.4984 per unit, expiring 120 days after the warrant holder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Underlying Founder Warrants to acquire up to 215,000 Common Shares, at an exercise price of CAD$0.75 per share, expiring two years from the date of exercise of the Underlying Founder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562,500 Common Shares that are issuable upon conversion of the 225 Class B Shares of Eupraxia Pharma Inc., the Company’s subsidiary, held by Amanda Malone, the former Chief Scientific Officer of the Company. Each Class B Share is exchangeable into Common Shares based on an exchange rate of 2,500 Common Shares for each Class B Share, subject to adjustments upon the occurrence of certain events, for a total of 562,500 Common Shares. The Class B Shares are exchangeable by Ms. Malone at her election, provided that the Company may force the exchange of the Class B Shares into Common Shares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de minimis number of Class B Shares outstanding. If the Company is listed on a stock exchange at the time of the applicable exchange, the Company may elect to pay Ms. Malone cash in lieu of issuing Common Shares, with such cash amount to be determined based on the then current market price of the Common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pre-funded warrant entitles the holder thereof to acquire one Common Share at a price of $6.99999 per Pre-Funded Warrant, which equals the public offering price per Common Share less the $0.000001 per share exercise price of each Pre-Funded Warrant following the closing date of the 2026 Offering being February 20,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8,855,638 Common Shares that are issuable on a one-to-one basis for no additional consideration upon conversion of the 8,855,638 Preferred Shares. Of the original 8,905,638 preferred shares issued on October 31, 2024, 50,000 have been converted to common shares as of the date 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Disclosure Controls and Procedures and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The Chief Executive Officer (“</w:t>
      </w:r>
      <w:r>
        <w:rPr>
          <w:rFonts w:ascii="Times New Roman" w:hAnsi="Times New Roman"/>
          <w:b/>
          <w:sz w:val="20"/>
        </w:rPr>
        <w:t>CEO</w:t>
      </w:r>
      <w:r>
        <w:rPr>
          <w:rFonts w:ascii="Times New Roman" w:hAnsi="Times New Roman"/>
          <w:sz w:val="20"/>
        </w:rPr>
        <w:t>”) and Chief Financial Officer (“</w:t>
      </w:r>
      <w:r>
        <w:rPr>
          <w:rFonts w:ascii="Times New Roman" w:hAnsi="Times New Roman"/>
          <w:b/>
          <w:sz w:val="20"/>
        </w:rPr>
        <w:t>CFO</w:t>
      </w:r>
      <w:r>
        <w:rPr>
          <w:rFonts w:ascii="Times New Roman" w:hAnsi="Times New Roman"/>
          <w:sz w:val="20"/>
        </w:rPr>
        <w:t xml:space="preserve">”) have designed or caused to be designed under their supervision, disclosure controls and procedures which provide reasonable assurance that material information regarding the Company is accumulated and communicated to our management, including its CEO and CFO, in a timely manner. </w:t>
      </w:r>
    </w:p>
    <w:p>
      <w:pPr>
        <w:pStyle w:val="TextBody"/>
        <w:bidi w:val="0"/>
        <w:spacing w:before="240" w:after="0"/>
        <w:jc w:val="left"/>
        <w:rPr>
          <w:rFonts w:ascii="Times New Roman" w:hAnsi="Times New Roman"/>
          <w:sz w:val="20"/>
        </w:rPr>
      </w:pPr>
      <w:r>
        <w:rPr>
          <w:rFonts w:ascii="Times New Roman" w:hAnsi="Times New Roman"/>
          <w:sz w:val="20"/>
        </w:rPr>
        <w:t>In addition, the CEO and CFO have designed or caused to be designed under their supervision internal controls over financial reporting (“</w:t>
      </w:r>
      <w:r>
        <w:rPr>
          <w:rFonts w:ascii="Times New Roman" w:hAnsi="Times New Roman"/>
          <w:b/>
          <w:sz w:val="20"/>
        </w:rPr>
        <w:t>ICFR</w:t>
      </w:r>
      <w:r>
        <w:rPr>
          <w:rFonts w:ascii="Times New Roman" w:hAnsi="Times New Roman"/>
          <w:sz w:val="20"/>
        </w:rPr>
        <w:t xml:space="preserve">”) to provide reasonable assurance regarding the reliability of financial reporting and the preparation of financial statements. The control framework used to design our ICFR uses the framework and criteria established in the </w:t>
      </w:r>
      <w:r>
        <w:rPr>
          <w:rFonts w:ascii="Times New Roman" w:hAnsi="Times New Roman"/>
          <w:i/>
          <w:sz w:val="20"/>
        </w:rPr>
        <w:t>Internal Control-Integrated Framework</w:t>
      </w:r>
      <w:r>
        <w:rPr>
          <w:rFonts w:ascii="Times New Roman" w:hAnsi="Times New Roman"/>
          <w:sz w:val="20"/>
        </w:rPr>
        <w:t xml:space="preserve"> (2013), issued by the Committee of Sponsoring Organizations of the Treadway Commission (“</w:t>
      </w:r>
      <w:r>
        <w:rPr>
          <w:rFonts w:ascii="Times New Roman" w:hAnsi="Times New Roman"/>
          <w:b/>
          <w:sz w:val="20"/>
        </w:rPr>
        <w:t>COSO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control system, no matter how well conceived and operated, can provide only reasonable, not absolute, assurance that its objectives are met. Due to inherent limitations in all such systems, no evaluations of controls can provide absolute assurance that all control issues, if any, within a company have been detected. Accordingly, our disclosure controls and procedures and our ICFR are designed to be effective in providing reasonable, not absolute, assurance that the objectives of our control systems have been met. </w:t>
      </w:r>
    </w:p>
    <w:p>
      <w:pPr>
        <w:pStyle w:val="TextBody"/>
        <w:bidi w:val="0"/>
        <w:spacing w:before="240" w:after="0"/>
        <w:jc w:val="left"/>
        <w:rPr>
          <w:rFonts w:ascii="Times New Roman" w:hAnsi="Times New Roman"/>
          <w:sz w:val="20"/>
        </w:rPr>
      </w:pPr>
      <w:r>
        <w:rPr>
          <w:rFonts w:ascii="Times New Roman" w:hAnsi="Times New Roman"/>
          <w:sz w:val="20"/>
        </w:rPr>
        <w:t xml:space="preserve">The CEO and the CFO have evaluated, or caused to be evaluated under their supervision and determined there were no changes to our internal controls over financial reporting during the three months ended June 30, 2026 that materially affected, or were reasonably likely to materially affect, our internal controls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Additional information about the Company is available on SEDAR+ at </w:t>
      </w:r>
      <w:r>
        <w:rPr>
          <w:rFonts w:ascii="Times New Roman" w:hAnsi="Times New Roman"/>
          <w:sz w:val="20"/>
          <w:u w:val="single"/>
        </w:rPr>
        <w:t>www.sedarplus.ca</w:t>
      </w:r>
      <w:r>
        <w:rPr>
          <w:rFonts w:ascii="Times New Roman" w:hAnsi="Times New Roman"/>
          <w:sz w:val="20"/>
        </w:rPr>
        <w:t xml:space="preserve">. and EDGAR at </w:t>
      </w:r>
      <w:r>
        <w:rPr>
          <w:rFonts w:ascii="Times New Roman" w:hAnsi="Times New Roman"/>
          <w:sz w:val="20"/>
          <w:u w:val="single"/>
        </w:rPr>
        <w:t>www.sec.gov/edgar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right"/>
        <w:rPr>
          <w:rFonts w:ascii="Times New Roman" w:hAnsi="Times New Roman"/>
          <w:b/>
          <w:sz w:val="20"/>
        </w:rPr>
      </w:pPr>
      <w:bookmarkStart w:id="6" w:name="d153391dex993.htm"/>
      <w:bookmarkStart w:id="7" w:name="ksd153391dex993"/>
      <w:bookmarkEnd w:id="6"/>
      <w:bookmarkEnd w:id="7"/>
      <w:r>
        <w:rPr>
          <w:rFonts w:ascii="Times New Roman" w:hAnsi="Times New Roman"/>
          <w:b/>
          <w:sz w:val="20"/>
        </w:rPr>
        <w:t xml:space="preserve">Exhibit 99.3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990850" cy="1228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90850" cy="12287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Eupraxia Pharmaceuticals Reports Second Quarter 2026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New data presented at Digestive Disease Week (DDW) demonstrating improvement of </w:t>
      </w:r>
    </w:p>
    <w:p>
      <w:pPr>
        <w:pStyle w:val="TextBody"/>
        <w:bidi w:val="0"/>
        <w:spacing w:before="0" w:after="0"/>
        <w:jc w:val="center"/>
        <w:rPr>
          <w:rFonts w:ascii="Times New Roman" w:hAnsi="Times New Roman"/>
          <w:i/>
          <w:sz w:val="20"/>
        </w:rPr>
      </w:pPr>
      <w:r>
        <w:rPr>
          <w:rFonts w:ascii="Times New Roman" w:hAnsi="Times New Roman"/>
          <w:i/>
          <w:sz w:val="20"/>
        </w:rPr>
        <w:t xml:space="preserve">fibrosis and inflammation following a single treatment of EP-104GI </w:t>
      </w:r>
    </w:p>
    <w:p>
      <w:pPr>
        <w:pStyle w:val="TextBody"/>
        <w:bidi w:val="0"/>
        <w:spacing w:before="240" w:after="0"/>
        <w:jc w:val="center"/>
        <w:rPr>
          <w:rFonts w:ascii="Times New Roman" w:hAnsi="Times New Roman"/>
          <w:i/>
          <w:sz w:val="20"/>
        </w:rPr>
      </w:pPr>
      <w:r>
        <w:rPr>
          <w:rFonts w:ascii="Times New Roman" w:hAnsi="Times New Roman"/>
          <w:i/>
          <w:sz w:val="20"/>
        </w:rPr>
        <w:t xml:space="preserve">Strengthened executive team and board to bolster late-stage drug development and </w:t>
      </w:r>
    </w:p>
    <w:p>
      <w:pPr>
        <w:pStyle w:val="TextBody"/>
        <w:bidi w:val="0"/>
        <w:spacing w:before="0" w:after="0"/>
        <w:jc w:val="center"/>
        <w:rPr>
          <w:rFonts w:ascii="Times New Roman" w:hAnsi="Times New Roman"/>
          <w:i/>
          <w:sz w:val="20"/>
        </w:rPr>
      </w:pPr>
      <w:r>
        <w:rPr>
          <w:rFonts w:ascii="Times New Roman" w:hAnsi="Times New Roman"/>
          <w:i/>
          <w:sz w:val="20"/>
        </w:rPr>
        <w:t xml:space="preserve">global commercialization capabilities. </w:t>
      </w:r>
    </w:p>
    <w:p>
      <w:pPr>
        <w:pStyle w:val="TextBody"/>
        <w:bidi w:val="0"/>
        <w:spacing w:before="240" w:after="0"/>
        <w:jc w:val="left"/>
        <w:rPr>
          <w:rFonts w:ascii="Times New Roman" w:hAnsi="Times New Roman"/>
          <w:sz w:val="20"/>
        </w:rPr>
      </w:pPr>
      <w:r>
        <w:rPr>
          <w:rFonts w:ascii="Times New Roman" w:hAnsi="Times New Roman"/>
          <w:b/>
          <w:sz w:val="20"/>
        </w:rPr>
        <w:t>VANCOUVER, British Columbia, August</w:t>
      </w:r>
      <w:r>
        <w:rPr>
          <w:rFonts w:ascii="Times New Roman" w:hAnsi="Times New Roman"/>
          <w:sz w:val="20"/>
        </w:rPr>
        <w:t> </w:t>
      </w:r>
      <w:r>
        <w:rPr>
          <w:rFonts w:ascii="Times New Roman" w:hAnsi="Times New Roman"/>
          <w:b/>
          <w:sz w:val="20"/>
        </w:rPr>
        <w:t>11, 2026</w:t>
      </w:r>
      <w:r>
        <w:rPr>
          <w:rFonts w:ascii="Times New Roman" w:hAnsi="Times New Roman"/>
          <w:sz w:val="20"/>
        </w:rPr>
        <w:t xml:space="preserve"> – Eupraxia Pharmaceuticals Inc. (“Eupraxia” or the “Company”) (NASDAQ:EPRX) (TSX:EPRX), a clinical-stage biotechnology company leveraging its proprietary Diffusphere technology designed to optimize local, controlled drug delivery for applications with significant unmet need, today announced its financial results for the second quarter of 2026. All dollar values are in U.S. dollars unless stated otherwise. </w:t>
      </w:r>
    </w:p>
    <w:p>
      <w:pPr>
        <w:pStyle w:val="TextBody"/>
        <w:bidi w:val="0"/>
        <w:spacing w:before="240" w:after="0"/>
        <w:jc w:val="left"/>
        <w:rPr/>
      </w:pPr>
      <w:r>
        <w:rPr/>
        <w:t>“</w:t>
      </w:r>
      <w:r>
        <w:rPr>
          <w:rFonts w:ascii="Times New Roman" w:hAnsi="Times New Roman"/>
          <w:sz w:val="20"/>
        </w:rPr>
        <w:t xml:space="preserve">Eupraxia is well funded with the experienced talent to execute on key upcoming milestones, including the Phase 2b Eosinophilic Esophagitis (EoE) trial with interim data expected to be released in Q4 highlighting key clinical and histologic endpoints, the subsequent Phase 3 trial initiation and the expansion of EP-104GI target indications to a broader GI portfolio in 2027. With the new appointments made this quarter to our executive team and Board, we are poised to progress EP-104GI into late-stage development and eventual commercialization” said Dr. James A. Helliwell, Chief Executive Officer of Eupraxia. “This year at DDW, it was clear that there is still a growing unmet need for patients living with EoE. With the additional data highlighting clinical improvement, fibrotic reversal and endoscopic resolution we believe that EP-104GI has the potential to be an impactful and durable treatment option.”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Operational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21, 2026, the Company announced nine-month tissue health and symptom data from the highest dose cohort in its ongoing Phase 1b/2a RESOLVE trial in EoE. Patients in Cohort 9 (n=3) also demonstrated the highest response in tissue health at week 36 compared to all other dose cohorts in the RESOLVE trial. Clinical remission in symptoms was maintained in 66% of the patients (2 of 3) in Cohort 9 at week 36. This level of remission was first achieved at week 8 and was maintained through 36 weeks.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4, 2026, the Company announced the appointment of Dr. Jeymi Tambiah as Chief Medical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5, 2026, the Company announced EREFS Data from its Ongoing Phase 1b/2a RESOLVE Trial in Eosinophilic Esophagitis at DDW. EREFS is a standardized visual scoring system that gastroenterologists use when performing an endoscopy in EoE patients to assess the severity of inflammation and fibrosis in the esophagus. EREFS data reported by Eupraxia demonstrated a relationship between the number of injections of EP-104GI and the overall improvements in the EREFS findings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6, 2026, the Company announced EoEHSS Sub Scores Data from its Ongoing Phase 1b/2a RESOLVE Trial in Eosinophilic Esophagitis at DDW. EoEHSS is a standardized method used to monitor esophageal tissue damage in EoE patients. Sub scores of EoEHSS are reported to specifically evaluate the tissue inflammation and tissue architecture (which is a measure of fibrosis). The sub-score data from the highest dose cohorts in the RESOLVE study were reported for the first time at DDW and generally demonstrated improvement in both inflammation and fibrosis following treatment with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7, 2026, the Company announced the appointment of three industry leaders in drug development and commercialization in Robert Bazemore, Amy Pott and Dr. Helen Thackray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13, 2026, the Company announced the addition of Dr. Jeff Millard as its Executive Vice President, Technical Operations, and that Dr. Alex Therien, who joined Eupraxia in November 2025, will take the helm of Research &amp; Development in his role as Executive Vice President, Research &amp; Development. The Company also announced the transition of its operations from Victoria to a two-hub organization based out of Vancouver and Seattle. As part of this transition, Amanda Malone, based in Victoria, stepped down from her role as Chief Scientific and Operating Officer.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Review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incurred a net loss of $14.5 million for the three months ended June 30, 2026, versus a net loss of $8.7 million for the three months ended June 30, 2025. The increase in net loss was primarily due to an increase in research and development costs as a result of doubling the size of the RESOLVE Part 2 trial and general and administrative costs, partially offset by an increase in other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cash and cash equivalents of $52.4 million and short-term investments of $81.2 million as of June 30, 2026, up from an aggregate cash balance of $80.6 million at the end of the fourth quarter of 2025. These funds are being used to fund clinical trials in EP-104GI and for general and administrative expenses, working capital needs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anticipates that existing cash reserves will be sufficient to fund the Company into the second half of 2028.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65,474,223 common shares, 8,295,638 preferred shares outstanding and 1,428,571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Statements and Management Discussion &amp; Analysis </w:t>
      </w:r>
    </w:p>
    <w:p>
      <w:pPr>
        <w:pStyle w:val="TextBody"/>
        <w:bidi w:val="0"/>
        <w:spacing w:before="120" w:after="0"/>
        <w:jc w:val="left"/>
        <w:rPr>
          <w:rFonts w:ascii="Times New Roman" w:hAnsi="Times New Roman"/>
          <w:sz w:val="20"/>
        </w:rPr>
      </w:pPr>
      <w:r>
        <w:rPr>
          <w:rFonts w:ascii="Times New Roman" w:hAnsi="Times New Roman"/>
          <w:sz w:val="20"/>
        </w:rPr>
        <w:t xml:space="preserve">Please see the unaudited interim consolidated financial statements and related MD&amp;A for more details. The unaudited interim consolidated financial statements for the quarter ended June 30, 2026, and related MD&amp;A have been reviewed and approved by Eupraxia’s Audit Committee and Board of Directors. For a more detailed explanation and analysis, please refer to the MD&amp;A that has been filed under the Company’s profile on EDGAR at www.sec.gov and on SEDAR+ at sedarplus.ca and which is also available on the Company’s website at </w:t>
      </w:r>
      <w:r>
        <w:rPr>
          <w:rFonts w:ascii="Times New Roman" w:hAnsi="Times New Roman"/>
          <w:sz w:val="20"/>
          <w:u w:val="single"/>
        </w:rPr>
        <w:t>www.eupraxiapharma.com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About Eupraxia Pharmaceuticals Inc.</w:t>
      </w:r>
    </w:p>
    <w:p>
      <w:pPr>
        <w:pStyle w:val="TextBody"/>
        <w:bidi w:val="0"/>
        <w:spacing w:before="120" w:after="0"/>
        <w:jc w:val="left"/>
        <w:rPr>
          <w:rFonts w:ascii="Times New Roman" w:hAnsi="Times New Roman"/>
          <w:sz w:val="20"/>
        </w:rPr>
      </w:pPr>
      <w:r>
        <w:rPr>
          <w:rFonts w:ascii="Times New Roman" w:hAnsi="Times New Roman"/>
          <w:sz w:val="20"/>
        </w:rPr>
        <w:t xml:space="preserve">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 </w:t>
      </w:r>
    </w:p>
    <w:p>
      <w:pPr>
        <w:pStyle w:val="TextBody"/>
        <w:bidi w:val="0"/>
        <w:spacing w:before="240" w:after="0"/>
        <w:jc w:val="left"/>
        <w:rPr>
          <w:rFonts w:ascii="Times New Roman" w:hAnsi="Times New Roman"/>
          <w:sz w:val="20"/>
        </w:rPr>
      </w:pPr>
      <w:r>
        <w:rPr>
          <w:rFonts w:ascii="Times New Roman" w:hAnsi="Times New Roman"/>
          <w:sz w:val="20"/>
        </w:rPr>
        <w:t xml:space="preserve">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t>
      </w:r>
      <w:r>
        <w:rPr>
          <w:rFonts w:ascii="Times New Roman" w:hAnsi="Times New Roman"/>
          <w:sz w:val="20"/>
          <w:u w:val="single"/>
        </w:rPr>
        <w:t>www.eupraxiapharma.com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Notice Regarding Forward-looking Statements and Information</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the 36-week data from the RESOLVE trial, including tissue health and symptom response; the Company’s expected timing of reporting additional data from the RESOLVE trial, including the Phase 2b portion thereof; the Company’s expectation that existing cash reserves will be sufficient to fund the Company into the second half of 2028;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fact that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For investor and media inquiries, please contact:</w:t>
      </w:r>
    </w:p>
    <w:p>
      <w:pPr>
        <w:pStyle w:val="TextBody"/>
        <w:bidi w:val="0"/>
        <w:spacing w:before="120" w:after="0"/>
        <w:jc w:val="left"/>
        <w:rPr>
          <w:rFonts w:ascii="Times New Roman" w:hAnsi="Times New Roman"/>
          <w:sz w:val="20"/>
        </w:rPr>
      </w:pPr>
      <w:r>
        <w:rPr>
          <w:rFonts w:ascii="Times New Roman" w:hAnsi="Times New Roman"/>
          <w:sz w:val="20"/>
        </w:rPr>
        <w:t>James Meikle, Eupraxia Pharmaceuticals Inc.</w:t>
      </w:r>
    </w:p>
    <w:p>
      <w:pPr>
        <w:pStyle w:val="TextBody"/>
        <w:bidi w:val="0"/>
        <w:spacing w:before="0" w:after="0"/>
        <w:jc w:val="left"/>
        <w:rPr>
          <w:rFonts w:ascii="Times New Roman" w:hAnsi="Times New Roman"/>
          <w:sz w:val="20"/>
        </w:rPr>
      </w:pPr>
      <w:r>
        <w:rPr>
          <w:rFonts w:ascii="Times New Roman" w:hAnsi="Times New Roman"/>
          <w:sz w:val="20"/>
        </w:rPr>
        <w:t>236-330-7084</w:t>
      </w:r>
    </w:p>
    <w:p>
      <w:pPr>
        <w:pStyle w:val="TextBody"/>
        <w:bidi w:val="0"/>
        <w:spacing w:before="0" w:after="0"/>
        <w:jc w:val="left"/>
        <w:rPr>
          <w:rFonts w:ascii="Times New Roman" w:hAnsi="Times New Roman"/>
          <w:sz w:val="20"/>
          <w:u w:val="single"/>
        </w:rPr>
      </w:pPr>
      <w:r>
        <w:rPr>
          <w:rFonts w:ascii="Times New Roman" w:hAnsi="Times New Roman"/>
          <w:sz w:val="20"/>
          <w:u w:val="single"/>
        </w:rPr>
        <w:t>jmeikle@eupraxiapharma.com</w:t>
      </w:r>
    </w:p>
    <w:p>
      <w:pPr>
        <w:pStyle w:val="TextBody"/>
        <w:bidi w:val="0"/>
        <w:spacing w:before="240" w:after="0"/>
        <w:jc w:val="left"/>
        <w:rPr>
          <w:rFonts w:ascii="Times New Roman" w:hAnsi="Times New Roman"/>
          <w:sz w:val="20"/>
        </w:rPr>
      </w:pPr>
      <w:r>
        <w:rPr>
          <w:rFonts w:ascii="Times New Roman" w:hAnsi="Times New Roman"/>
          <w:sz w:val="20"/>
        </w:rPr>
        <w:t>or</w:t>
      </w:r>
    </w:p>
    <w:p>
      <w:pPr>
        <w:pStyle w:val="TextBody"/>
        <w:bidi w:val="0"/>
        <w:spacing w:before="240" w:after="0"/>
        <w:jc w:val="left"/>
        <w:rPr>
          <w:rFonts w:ascii="Times New Roman" w:hAnsi="Times New Roman"/>
          <w:sz w:val="20"/>
        </w:rPr>
      </w:pPr>
      <w:r>
        <w:rPr>
          <w:rFonts w:ascii="Times New Roman" w:hAnsi="Times New Roman"/>
          <w:sz w:val="20"/>
        </w:rPr>
        <w:t>Kevin Gardner, on behalf of:</w:t>
      </w:r>
    </w:p>
    <w:p>
      <w:pPr>
        <w:pStyle w:val="TextBody"/>
        <w:bidi w:val="0"/>
        <w:spacing w:before="0" w:after="0"/>
        <w:jc w:val="left"/>
        <w:rPr>
          <w:rFonts w:ascii="Times New Roman" w:hAnsi="Times New Roman"/>
          <w:sz w:val="20"/>
        </w:rPr>
      </w:pPr>
      <w:r>
        <w:rPr>
          <w:rFonts w:ascii="Times New Roman" w:hAnsi="Times New Roman"/>
          <w:sz w:val="20"/>
        </w:rPr>
        <w:t>Eupraxia Pharmaceuticals Inc.</w:t>
      </w:r>
    </w:p>
    <w:p>
      <w:pPr>
        <w:pStyle w:val="TextBody"/>
        <w:bidi w:val="0"/>
        <w:spacing w:before="0" w:after="0"/>
        <w:jc w:val="left"/>
        <w:rPr>
          <w:rFonts w:ascii="Times New Roman" w:hAnsi="Times New Roman"/>
          <w:sz w:val="20"/>
        </w:rPr>
      </w:pPr>
      <w:r>
        <w:rPr>
          <w:rFonts w:ascii="Times New Roman" w:hAnsi="Times New Roman"/>
          <w:sz w:val="20"/>
        </w:rPr>
        <w:t>617-283-2856</w:t>
      </w:r>
    </w:p>
    <w:p>
      <w:pPr>
        <w:pStyle w:val="TextBody"/>
        <w:bidi w:val="0"/>
        <w:spacing w:before="0" w:after="0"/>
        <w:jc w:val="left"/>
        <w:rPr>
          <w:rFonts w:ascii="Times New Roman" w:hAnsi="Times New Roman"/>
          <w:sz w:val="20"/>
          <w:u w:val="single"/>
        </w:rPr>
      </w:pPr>
      <w:r>
        <w:rPr>
          <w:rFonts w:ascii="Times New Roman" w:hAnsi="Times New Roman"/>
          <w:sz w:val="20"/>
          <w:u w:val="single"/>
        </w:rPr>
        <w:t>kgardner@lifesciadvisors.com</w:t>
      </w:r>
    </w:p>
    <w:p>
      <w:pPr>
        <w:pStyle w:val="TextBody"/>
        <w:bidi w:val="0"/>
        <w:spacing w:before="240" w:after="0"/>
        <w:jc w:val="left"/>
        <w:rPr>
          <w:rFonts w:ascii="Times New Roman" w:hAnsi="Times New Roman"/>
          <w:sz w:val="20"/>
        </w:rPr>
      </w:pPr>
      <w:r>
        <w:rPr>
          <w:rFonts w:ascii="Times New Roman" w:hAnsi="Times New Roman"/>
          <w:sz w:val="20"/>
        </w:rPr>
        <w:t>SOURCE Eupraxia Pharmaceuticals Inc.</w:t>
      </w:r>
    </w:p>
    <w:p>
      <w:pPr>
        <w:pStyle w:val="TextBody"/>
        <w:bidi w:val="0"/>
        <w:spacing w:before="0" w:after="0"/>
        <w:jc w:val="right"/>
        <w:rPr>
          <w:rFonts w:ascii="Times New Roman" w:hAnsi="Times New Roman"/>
          <w:b/>
          <w:sz w:val="20"/>
        </w:rPr>
      </w:pPr>
      <w:bookmarkStart w:id="8" w:name="d153391dex994.htm"/>
      <w:bookmarkStart w:id="9" w:name="ksd153391dex994"/>
      <w:bookmarkEnd w:id="8"/>
      <w:bookmarkEnd w:id="9"/>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52-109F2 </w:t>
      </w:r>
    </w:p>
    <w:p>
      <w:pPr>
        <w:pStyle w:val="TextBody"/>
        <w:bidi w:val="0"/>
        <w:spacing w:before="0" w:after="0"/>
        <w:jc w:val="center"/>
        <w:rPr>
          <w:rFonts w:ascii="Times New Roman" w:hAnsi="Times New Roman"/>
          <w:b/>
          <w:i/>
          <w:sz w:val="20"/>
        </w:rPr>
      </w:pPr>
      <w:r>
        <w:rPr>
          <w:rFonts w:ascii="Times New Roman" w:hAnsi="Times New Roman"/>
          <w:b/>
          <w:i/>
          <w:sz w:val="20"/>
        </w:rPr>
        <w:t xml:space="preserve">Certification of Interim Filings </w:t>
      </w:r>
    </w:p>
    <w:p>
      <w:pPr>
        <w:pStyle w:val="TextBody"/>
        <w:bidi w:val="0"/>
        <w:spacing w:before="0" w:after="0"/>
        <w:jc w:val="center"/>
        <w:rPr>
          <w:rFonts w:ascii="Times New Roman" w:hAnsi="Times New Roman"/>
          <w:b/>
          <w:i/>
          <w:sz w:val="20"/>
        </w:rPr>
      </w:pPr>
      <w:r>
        <w:rPr>
          <w:rFonts w:ascii="Times New Roman" w:hAnsi="Times New Roman"/>
          <w:b/>
          <w:i/>
          <w:sz w:val="20"/>
        </w:rPr>
        <w:t xml:space="preserve">Full Certificate </w:t>
      </w:r>
    </w:p>
    <w:p>
      <w:pPr>
        <w:pStyle w:val="TextBody"/>
        <w:bidi w:val="0"/>
        <w:spacing w:before="240" w:after="0"/>
        <w:jc w:val="left"/>
        <w:rPr>
          <w:rFonts w:ascii="Times New Roman" w:hAnsi="Times New Roman"/>
          <w:sz w:val="20"/>
        </w:rPr>
      </w:pPr>
      <w:r>
        <w:rPr>
          <w:rFonts w:ascii="Times New Roman" w:hAnsi="Times New Roman"/>
          <w:sz w:val="20"/>
        </w:rPr>
        <w:t xml:space="preserve">I, James Helliwell, Chief Executive Officer of Eupraxia Pharmaceuticals Inc., certify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Review:</w:t>
            </w:r>
            <w:r>
              <w:rPr>
                <w:rFonts w:ascii="Times New Roman" w:hAnsi="Times New Roman"/>
                <w:sz w:val="20"/>
              </w:rPr>
              <w:t xml:space="preserve"> I have reviewed the interim financial report and interim MD&amp;A (together, the “interim filings”) of Eupraxia Pharmaceuticals Inc</w:t>
            </w:r>
            <w:r>
              <w:rPr>
                <w:rFonts w:ascii="Times New Roman" w:hAnsi="Times New Roman"/>
                <w:b/>
                <w:sz w:val="20"/>
              </w:rPr>
              <w:t>.</w:t>
            </w:r>
            <w:r>
              <w:rPr>
                <w:rFonts w:ascii="Times New Roman" w:hAnsi="Times New Roman"/>
                <w:sz w:val="20"/>
              </w:rPr>
              <w:t xml:space="preserve"> (the “issuer”) for the interim period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No misrepresentations:</w:t>
            </w:r>
            <w:r>
              <w:rPr>
                <w:rFonts w:ascii="Times New Roman" w:hAnsi="Times New Roman"/>
                <w:sz w:val="20"/>
              </w:rPr>
              <w:t xml:space="preserve">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Fair presentation:</w:t>
            </w:r>
            <w:r>
              <w:rPr>
                <w:rFonts w:ascii="Times New Roman" w:hAnsi="Times New Roman"/>
                <w:sz w:val="20"/>
              </w:rPr>
              <w:t xml:space="preserve"> Based on my knowledge, having exercised reasonable diligence, the interim financial report together with the other financial information included in the interim filings fairly present in all material respects the financial condition, financial performance and cash flows of the issuer, as of the date of and for the periods presented in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Responsibility: </w:t>
            </w:r>
            <w:r>
              <w:rPr>
                <w:rFonts w:ascii="Times New Roman" w:hAnsi="Times New Roman"/>
                <w:sz w:val="20"/>
              </w:rPr>
              <w:t xml:space="preserve">The issuer’s other certifying officer(s) and I are responsible for establishing and maintaining disclosure controls and procedures (DC&amp;P) and internal control over financial reporting (ICFR), as those terms are defined in National Instrument 52-109 </w:t>
            </w:r>
            <w:r>
              <w:rPr>
                <w:rFonts w:ascii="Times New Roman" w:hAnsi="Times New Roman"/>
                <w:i/>
                <w:sz w:val="20"/>
              </w:rPr>
              <w:t>Certification of Disclosure in Issuers’ Annual and Interim Filings,</w:t>
            </w:r>
            <w:r>
              <w:rPr>
                <w:rFonts w:ascii="Times New Roman" w:hAnsi="Times New Roman"/>
                <w:sz w:val="20"/>
              </w:rPr>
              <w:t xml:space="preserve"> for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Design:</w:t>
            </w:r>
            <w:r>
              <w:rPr>
                <w:rFonts w:ascii="Times New Roman" w:hAnsi="Times New Roman"/>
                <w:sz w:val="20"/>
              </w:rPr>
              <w:t xml:space="preserve"> Subject to the limitations, if any, described in paragraphs 5.2 and 5.3, the issuer’s other certifying officer(s) and I have, as at the end of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DC&amp;P, or caused it to be designed under our supervision, to provide reasonable assurance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information relating to the issuer is made known to us by others, particularly during the period in which the interim filings are being prepared;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required to be disclosed by the issuer in its annual filings, interim filings or other reports filed or submitted by it under securities legislation is recorded, processed, summarized and reported within the time periods specified in securities legislation;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ICFR, or caused it to be designed under our supervision, to provide reasonable assurance regarding the reliability of financial reporting and the preparation of financial statements for external purposes in accordance with the issuer’s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Control framework:</w:t>
            </w:r>
            <w:r>
              <w:rPr>
                <w:rFonts w:ascii="Times New Roman" w:hAnsi="Times New Roman"/>
                <w:sz w:val="20"/>
              </w:rPr>
              <w:t xml:space="preserve"> The control framework the issuer’s other certifying officer(s) and I used to design the issuer’s ICFR is the </w:t>
            </w:r>
            <w:r>
              <w:rPr>
                <w:rFonts w:ascii="Times New Roman" w:hAnsi="Times New Roman"/>
                <w:i/>
                <w:sz w:val="20"/>
              </w:rPr>
              <w:t>Internal Control – Integrated Framework</w:t>
            </w:r>
            <w:r>
              <w:rPr>
                <w:rFonts w:ascii="Times New Roman" w:hAnsi="Times New Roman"/>
                <w:sz w:val="20"/>
              </w:rPr>
              <w:t xml:space="preserve"> (2013 COSO Framework) published by the </w:t>
            </w:r>
            <w:r>
              <w:rPr>
                <w:rFonts w:ascii="Times New Roman" w:hAnsi="Times New Roman"/>
                <w:i/>
                <w:sz w:val="20"/>
              </w:rPr>
              <w:t>Committee of Sponsoring Organizations of the treadway Commission.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ICFR – material weakness relating to design: </w:t>
            </w:r>
            <w:r>
              <w:rPr>
                <w:rFonts w:ascii="Times New Roman" w:hAnsi="Times New Roman"/>
                <w:sz w:val="20"/>
              </w:rPr>
              <w:t xml:space="preserve">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scope of design:</w:t>
            </w:r>
            <w:r>
              <w:rPr>
                <w:rFonts w:ascii="Times New Roman" w:hAnsi="Times New Roman"/>
                <w:sz w:val="20"/>
              </w:rPr>
              <w:t xml:space="preserve"> 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Reporting changes in ICFR:</w:t>
            </w:r>
            <w:r>
              <w:rPr>
                <w:rFonts w:ascii="Times New Roman" w:hAnsi="Times New Roman"/>
                <w:sz w:val="20"/>
              </w:rPr>
              <w:t xml:space="preserve"> The issuer has disclosed in its interim MD&amp;A any change in the issuer’s ICFR that occurred during the period beginning on April 1, 2026 and ended on June 30, 2026 that has materially affected, or is reasonably likely to materially affect, the issuer’s ICFR.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James Helliwell</w:t>
            </w:r>
          </w:p>
        </w:tc>
      </w:tr>
      <w:tr>
        <w:trPr/>
        <w:tc>
          <w:tcPr>
            <w:tcW w:w="4082" w:type="dxa"/>
            <w:tcBorders/>
          </w:tcPr>
          <w:p>
            <w:pPr>
              <w:pStyle w:val="TableContents"/>
              <w:bidi w:val="0"/>
              <w:spacing w:before="0" w:after="283"/>
              <w:jc w:val="left"/>
              <w:rPr/>
            </w:pPr>
            <w:r>
              <w:rPr/>
              <w:t>James Helliwell</w:t>
            </w:r>
          </w:p>
        </w:tc>
      </w:tr>
      <w:tr>
        <w:trPr/>
        <w:tc>
          <w:tcPr>
            <w:tcW w:w="4082"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10" w:name="d153391dex995.htm"/>
      <w:bookmarkStart w:id="11" w:name="ksd153391dex995"/>
      <w:bookmarkEnd w:id="10"/>
      <w:bookmarkEnd w:id="11"/>
      <w:r>
        <w:rPr>
          <w:rFonts w:ascii="Times New Roman" w:hAnsi="Times New Roman"/>
          <w:b/>
          <w:sz w:val="20"/>
        </w:rPr>
        <w:t xml:space="preserve">Exhibit 99.5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52-109F2 </w:t>
      </w:r>
    </w:p>
    <w:p>
      <w:pPr>
        <w:pStyle w:val="TextBody"/>
        <w:bidi w:val="0"/>
        <w:spacing w:before="0" w:after="0"/>
        <w:jc w:val="center"/>
        <w:rPr>
          <w:rFonts w:ascii="Times New Roman" w:hAnsi="Times New Roman"/>
          <w:b/>
          <w:i/>
          <w:sz w:val="20"/>
        </w:rPr>
      </w:pPr>
      <w:r>
        <w:rPr>
          <w:rFonts w:ascii="Times New Roman" w:hAnsi="Times New Roman"/>
          <w:b/>
          <w:i/>
          <w:sz w:val="20"/>
        </w:rPr>
        <w:t xml:space="preserve">Certification of Interim Filings </w:t>
      </w:r>
    </w:p>
    <w:p>
      <w:pPr>
        <w:pStyle w:val="TextBody"/>
        <w:bidi w:val="0"/>
        <w:spacing w:before="0" w:after="0"/>
        <w:jc w:val="center"/>
        <w:rPr>
          <w:rFonts w:ascii="Times New Roman" w:hAnsi="Times New Roman"/>
          <w:b/>
          <w:i/>
          <w:sz w:val="20"/>
        </w:rPr>
      </w:pPr>
      <w:r>
        <w:rPr>
          <w:rFonts w:ascii="Times New Roman" w:hAnsi="Times New Roman"/>
          <w:b/>
          <w:i/>
          <w:sz w:val="20"/>
        </w:rPr>
        <w:t xml:space="preserve">Full Certificate </w:t>
      </w:r>
    </w:p>
    <w:p>
      <w:pPr>
        <w:pStyle w:val="TextBody"/>
        <w:bidi w:val="0"/>
        <w:spacing w:before="240" w:after="0"/>
        <w:jc w:val="left"/>
        <w:rPr>
          <w:rFonts w:ascii="Times New Roman" w:hAnsi="Times New Roman"/>
          <w:sz w:val="20"/>
        </w:rPr>
      </w:pPr>
      <w:r>
        <w:rPr>
          <w:rFonts w:ascii="Times New Roman" w:hAnsi="Times New Roman"/>
          <w:sz w:val="20"/>
        </w:rPr>
        <w:t xml:space="preserve">I, Alex Rothwell, Chief Financial Officer of Eupraxia Pharmaceuticals Inc., certify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Review:</w:t>
            </w:r>
            <w:r>
              <w:rPr>
                <w:rFonts w:ascii="Times New Roman" w:hAnsi="Times New Roman"/>
                <w:sz w:val="20"/>
              </w:rPr>
              <w:t xml:space="preserve"> I have reviewed the interim financial report and interim MD&amp;A (together, the “interim filings”) of Eupraxia Pharmaceuticals Inc</w:t>
            </w:r>
            <w:r>
              <w:rPr>
                <w:rFonts w:ascii="Times New Roman" w:hAnsi="Times New Roman"/>
                <w:b/>
                <w:sz w:val="20"/>
              </w:rPr>
              <w:t>.</w:t>
            </w:r>
            <w:r>
              <w:rPr>
                <w:rFonts w:ascii="Times New Roman" w:hAnsi="Times New Roman"/>
                <w:sz w:val="20"/>
              </w:rPr>
              <w:t xml:space="preserve"> (the “issuer”) for the interim period ended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No misrepresentations:</w:t>
            </w:r>
            <w:r>
              <w:rPr>
                <w:rFonts w:ascii="Times New Roman" w:hAnsi="Times New Roman"/>
                <w:sz w:val="20"/>
              </w:rPr>
              <w:t xml:space="preserve">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Fair presentation:</w:t>
            </w:r>
            <w:r>
              <w:rPr>
                <w:rFonts w:ascii="Times New Roman" w:hAnsi="Times New Roman"/>
                <w:sz w:val="20"/>
              </w:rPr>
              <w:t xml:space="preserve"> Based on my knowledge, having exercised reasonable diligence, the interim financial report together with the other financial information included in the interim filings fairly present in all material respects the financial condition, financial performance and cash flows of the issuer, as of the date of and for the periods presented in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Responsibility: </w:t>
            </w:r>
            <w:r>
              <w:rPr>
                <w:rFonts w:ascii="Times New Roman" w:hAnsi="Times New Roman"/>
                <w:sz w:val="20"/>
              </w:rPr>
              <w:t xml:space="preserve">The issuer’s other certifying officer(s) and I are responsible for establishing and maintaining disclosure controls and procedures (DC&amp;P) and internal control over financial reporting (ICFR), as those terms are defined in National Instrument 52-109 </w:t>
            </w:r>
            <w:r>
              <w:rPr>
                <w:rFonts w:ascii="Times New Roman" w:hAnsi="Times New Roman"/>
                <w:i/>
                <w:sz w:val="20"/>
              </w:rPr>
              <w:t>Certification of Disclosure in Issuers’ Annual and Interim Filings,</w:t>
            </w:r>
            <w:r>
              <w:rPr>
                <w:rFonts w:ascii="Times New Roman" w:hAnsi="Times New Roman"/>
                <w:sz w:val="20"/>
              </w:rPr>
              <w:t xml:space="preserve"> for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Design:</w:t>
            </w:r>
            <w:r>
              <w:rPr>
                <w:rFonts w:ascii="Times New Roman" w:hAnsi="Times New Roman"/>
                <w:sz w:val="20"/>
              </w:rPr>
              <w:t xml:space="preserve"> Subject to the limitations, if any, described in paragraphs 5.2 and 5.3, the issuer’s other certifying officer(s) and I have, as at the end of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DC&amp;P, or caused it to be designed under our supervision, to provide reasonable assurance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information relating to the issuer is made known to us by others, particularly during the period in which the interim filings are being prepared;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required to be disclosed by the issuer in its annual filings, interim filings or other reports filed or submitted by it under securities legislation is recorded, processed, summarized and reported within the time periods specified in securities legislation;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ICFR, or caused it to be designed under our supervision, to provide reasonable assurance regarding the reliability of financial reporting and the preparation of financial statements for external purposes in accordance with the issuer’s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Control framework:</w:t>
            </w:r>
            <w:r>
              <w:rPr>
                <w:rFonts w:ascii="Times New Roman" w:hAnsi="Times New Roman"/>
                <w:sz w:val="20"/>
              </w:rPr>
              <w:t xml:space="preserve"> The control framework the issuer’s other certifying officer(s) and I used to design the issuer’s ICFR is the </w:t>
            </w:r>
            <w:r>
              <w:rPr>
                <w:rFonts w:ascii="Times New Roman" w:hAnsi="Times New Roman"/>
                <w:i/>
                <w:sz w:val="20"/>
              </w:rPr>
              <w:t>Internal Control – Integrated Framework</w:t>
            </w:r>
            <w:r>
              <w:rPr>
                <w:rFonts w:ascii="Times New Roman" w:hAnsi="Times New Roman"/>
                <w:sz w:val="20"/>
              </w:rPr>
              <w:t xml:space="preserve"> (2013 COSO Framework) published by the </w:t>
            </w:r>
            <w:r>
              <w:rPr>
                <w:rFonts w:ascii="Times New Roman" w:hAnsi="Times New Roman"/>
                <w:i/>
                <w:sz w:val="20"/>
              </w:rPr>
              <w:t>Committee of Sponsoring Organizations of the treadway Commission.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ICFR – material weakness relating to design: </w:t>
            </w:r>
            <w:r>
              <w:rPr>
                <w:rFonts w:ascii="Times New Roman" w:hAnsi="Times New Roman"/>
                <w:sz w:val="20"/>
              </w:rPr>
              <w:t xml:space="preserve">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scope of design:</w:t>
            </w:r>
            <w:r>
              <w:rPr>
                <w:rFonts w:ascii="Times New Roman" w:hAnsi="Times New Roman"/>
                <w:sz w:val="20"/>
              </w:rPr>
              <w:t xml:space="preserve"> 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Reporting changes in ICFR:</w:t>
            </w:r>
            <w:r>
              <w:rPr>
                <w:rFonts w:ascii="Times New Roman" w:hAnsi="Times New Roman"/>
                <w:sz w:val="20"/>
              </w:rPr>
              <w:t xml:space="preserve"> The issuer has disclosed in its interim MD&amp;A any change in the issuer’s ICFR that occurred during the period beginning on April 1, 2026 and ended on June 30, 2026 that has materially affected, or is reasonably likely to materially affect, the issuer’s ICFR.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Alex Rothwell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Alex Rothwell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28307</Words>
  <Characters>158681</Characters>
  <CharactersWithSpaces>191938</CharactersWithSpaces>
  <Paragraphs>9180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EX-99.5</dc:title>
</cp:coreProperties>
</file>