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001-41923</w:t>
      </w:r>
    </w:p>
    <w:p>
      <w:pPr>
        <w:spacing w:after="0" w:line="2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EUPRAXIA PHARMACEUTICALS INC.</w:t>
      </w:r>
    </w:p>
    <w:p>
      <w:pPr>
        <w:spacing w:after="0" w:line="18"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color w:val="auto"/>
        </w:rPr>
        <w:t>(Translation of Registrant’s name)</w:t>
      </w:r>
    </w:p>
    <w:p>
      <w:pPr>
        <w:spacing w:after="0" w:line="17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201-2067 Cadboro Bay Road</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Victoria, British Columbia, Canada V8R 5G4</w:t>
      </w:r>
    </w:p>
    <w:p>
      <w:pPr>
        <w:jc w:val="center"/>
        <w:ind w:right="-179"/>
        <w:spacing w:after="0" w:line="230" w:lineRule="auto"/>
        <w:rPr>
          <w:sz w:val="20"/>
          <w:szCs w:val="20"/>
          <w:color w:val="auto"/>
        </w:rPr>
      </w:pPr>
      <w:r>
        <w:rPr>
          <w:rFonts w:ascii="Times New Roman" w:cs="Times New Roman" w:eastAsia="Times New Roman" w:hAnsi="Times New Roman"/>
          <w:sz w:val="22"/>
          <w:szCs w:val="22"/>
          <w:b w:val="1"/>
          <w:bCs w:val="1"/>
          <w:color w:val="auto"/>
        </w:rPr>
        <w:t>Telephone: (250) 590-3968</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520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9"/>
              </w:rPr>
              <w:t>EUPRAXIA PHARMACEUTICALS INC.</w:t>
            </w:r>
          </w:p>
        </w:tc>
      </w:tr>
      <w:tr>
        <w:trPr>
          <w:trHeight w:val="60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2026</w:t>
            </w:r>
          </w:p>
        </w:tc>
        <w:tc>
          <w:tcPr>
            <w:tcW w:w="52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By:/s/ Alex Rothwell</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Alex Rothwell</w:t>
            </w:r>
          </w:p>
        </w:tc>
        <w:tc>
          <w:tcPr>
            <w:tcW w:w="44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Eupraxia Pharmaceuticals to Present at Digestive Disease Week Annual Meeting</w:t>
      </w:r>
    </w:p>
    <w:p>
      <w:pPr>
        <w:spacing w:after="0" w:line="2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VANCOUVER, British Columbia, April 22,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that the Company will present 4 abstracts at Digestive Disease Week (“DDW”) Annual meeting being held May 2-5, 2026 in Chicago, Illinois. Clinical data will be presented from the ongoing Phase 1b/2 RESOLVE trial of EP-104GI for the treatment of eosinophilic esophagitis (“EoE”).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Oral Presentation: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Lecture Session</w:t>
      </w:r>
      <w:r>
        <w:rPr>
          <w:rFonts w:ascii="Times New Roman" w:cs="Times New Roman" w:eastAsia="Times New Roman" w:hAnsi="Times New Roman"/>
          <w:sz w:val="22"/>
          <w:szCs w:val="22"/>
          <w:color w:val="auto"/>
        </w:rPr>
        <w:t>: EoE: Advances in Management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May 3, 2026</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Time</w:t>
      </w:r>
      <w:r>
        <w:rPr>
          <w:rFonts w:ascii="Times New Roman" w:cs="Times New Roman" w:eastAsia="Times New Roman" w:hAnsi="Times New Roman"/>
          <w:sz w:val="22"/>
          <w:szCs w:val="22"/>
          <w:color w:val="auto"/>
        </w:rPr>
        <w:t>: 10:15-10:30 AM CDT</w:t>
      </w:r>
    </w:p>
    <w:p>
      <w:pPr>
        <w:spacing w:after="0" w:line="1" w:lineRule="exact"/>
        <w:rPr>
          <w:sz w:val="20"/>
          <w:szCs w:val="20"/>
          <w:color w:val="auto"/>
        </w:rPr>
      </w:pPr>
    </w:p>
    <w:p>
      <w:pPr>
        <w:ind w:right="26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Title: </w:t>
      </w:r>
      <w:r>
        <w:rPr>
          <w:rFonts w:ascii="Times New Roman" w:cs="Times New Roman" w:eastAsia="Times New Roman" w:hAnsi="Times New Roman"/>
          <w:sz w:val="22"/>
          <w:szCs w:val="22"/>
          <w:color w:val="auto"/>
        </w:rPr>
        <w:t>Administration of escalating doses of EP-104GI leads to persistent improvements in histological features of eosinophilic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esophagitis over 36 weeks in RESOLVE, a Phase 1b/2 dose escalation and optimization trial. </w:t>
      </w:r>
      <w:r>
        <w:rPr>
          <w:rFonts w:ascii="Times New Roman" w:cs="Times New Roman" w:eastAsia="Times New Roman" w:hAnsi="Times New Roman"/>
          <w:sz w:val="22"/>
          <w:szCs w:val="22"/>
          <w:b w:val="1"/>
          <w:bCs w:val="1"/>
          <w:color w:val="auto"/>
        </w:rPr>
        <w:t>Presenter</w:t>
      </w:r>
      <w:r>
        <w:rPr>
          <w:rFonts w:ascii="Times New Roman" w:cs="Times New Roman" w:eastAsia="Times New Roman" w:hAnsi="Times New Roman"/>
          <w:sz w:val="22"/>
          <w:szCs w:val="22"/>
          <w:color w:val="auto"/>
        </w:rPr>
        <w:t>: Chris Ma, University of Calgary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Poster Presentations: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Poster Session</w:t>
      </w:r>
      <w:r>
        <w:rPr>
          <w:rFonts w:ascii="Times New Roman" w:cs="Times New Roman" w:eastAsia="Times New Roman" w:hAnsi="Times New Roman"/>
          <w:sz w:val="22"/>
          <w:szCs w:val="22"/>
          <w:color w:val="auto"/>
        </w:rPr>
        <w:t>: Eosinophilic Esophagitis: Treatment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May 5, 2026</w:t>
      </w:r>
    </w:p>
    <w:p>
      <w:pPr>
        <w:spacing w:after="0"/>
        <w:rPr>
          <w:sz w:val="20"/>
          <w:szCs w:val="20"/>
          <w:color w:val="auto"/>
        </w:rPr>
      </w:pPr>
      <w:r>
        <w:rPr>
          <w:rFonts w:ascii="Times New Roman" w:cs="Times New Roman" w:eastAsia="Times New Roman" w:hAnsi="Times New Roman"/>
          <w:sz w:val="22"/>
          <w:szCs w:val="22"/>
          <w:b w:val="1"/>
          <w:bCs w:val="1"/>
          <w:color w:val="auto"/>
        </w:rPr>
        <w:t>Time</w:t>
      </w:r>
      <w:r>
        <w:rPr>
          <w:rFonts w:ascii="Times New Roman" w:cs="Times New Roman" w:eastAsia="Times New Roman" w:hAnsi="Times New Roman"/>
          <w:sz w:val="22"/>
          <w:szCs w:val="22"/>
          <w:color w:val="auto"/>
        </w:rPr>
        <w:t>: 12:30 PM to 1:30 PM CDT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Single administration of EP-104GI in RESOLVE, a Phase 1b/2 trial in eosinophilic esophagitis, improves endoscopic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features of inflammation and fibrosis over 36 weeks.</w:t>
      </w:r>
    </w:p>
    <w:p>
      <w:pPr>
        <w:spacing w:after="0"/>
        <w:rPr>
          <w:sz w:val="20"/>
          <w:szCs w:val="20"/>
          <w:color w:val="auto"/>
        </w:rPr>
      </w:pPr>
      <w:r>
        <w:rPr>
          <w:rFonts w:ascii="Times New Roman" w:cs="Times New Roman" w:eastAsia="Times New Roman" w:hAnsi="Times New Roman"/>
          <w:sz w:val="22"/>
          <w:szCs w:val="22"/>
          <w:b w:val="1"/>
          <w:bCs w:val="1"/>
          <w:color w:val="auto"/>
        </w:rPr>
        <w:t>Presenter</w:t>
      </w:r>
      <w:r>
        <w:rPr>
          <w:rFonts w:ascii="Times New Roman" w:cs="Times New Roman" w:eastAsia="Times New Roman" w:hAnsi="Times New Roman"/>
          <w:sz w:val="22"/>
          <w:szCs w:val="22"/>
          <w:color w:val="auto"/>
        </w:rPr>
        <w:t>: Nirmala Gonsalves, Northwestern University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Durability of dysphagia improvements following single administration of EP-104GI in participants with eosinophilic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esophagitis during dose escalation in the RESOLVE trial.</w:t>
      </w:r>
    </w:p>
    <w:p>
      <w:pPr>
        <w:spacing w:after="0"/>
        <w:rPr>
          <w:sz w:val="20"/>
          <w:szCs w:val="20"/>
          <w:color w:val="auto"/>
        </w:rPr>
      </w:pPr>
      <w:r>
        <w:rPr>
          <w:rFonts w:ascii="Times New Roman" w:cs="Times New Roman" w:eastAsia="Times New Roman" w:hAnsi="Times New Roman"/>
          <w:sz w:val="22"/>
          <w:szCs w:val="22"/>
          <w:b w:val="1"/>
          <w:bCs w:val="1"/>
          <w:color w:val="auto"/>
        </w:rPr>
        <w:t>Presenter</w:t>
      </w:r>
      <w:r>
        <w:rPr>
          <w:rFonts w:ascii="Times New Roman" w:cs="Times New Roman" w:eastAsia="Times New Roman" w:hAnsi="Times New Roman"/>
          <w:sz w:val="22"/>
          <w:szCs w:val="22"/>
          <w:color w:val="auto"/>
        </w:rPr>
        <w:t>: Arjan Bredenoord, UMC Amsterdam</w:t>
      </w:r>
    </w:p>
    <w:p>
      <w:pPr>
        <w:spacing w:after="0" w:line="17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Determination of dose and injection pattern of EP-104GI through dose escalation in RESOLVE: a Phase 1b/2, multicenter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trial to evaluate safety, tolerability, pharmacokinetics and efficacy in adults with EoE. </w:t>
      </w:r>
      <w:r>
        <w:rPr>
          <w:rFonts w:ascii="Times New Roman" w:cs="Times New Roman" w:eastAsia="Times New Roman" w:hAnsi="Times New Roman"/>
          <w:sz w:val="22"/>
          <w:szCs w:val="22"/>
          <w:b w:val="1"/>
          <w:bCs w:val="1"/>
          <w:color w:val="auto"/>
        </w:rPr>
        <w:t>Presenter</w:t>
      </w:r>
      <w:r>
        <w:rPr>
          <w:rFonts w:ascii="Times New Roman" w:cs="Times New Roman" w:eastAsia="Times New Roman" w:hAnsi="Times New Roman"/>
          <w:sz w:val="22"/>
          <w:szCs w:val="22"/>
          <w:color w:val="auto"/>
        </w:rPr>
        <w:t>: Evan Dellon, University of North Carolina</w:t>
      </w:r>
    </w:p>
    <w:p>
      <w:pPr>
        <w:spacing w:after="0" w:line="171" w:lineRule="exact"/>
        <w:rPr>
          <w:sz w:val="20"/>
          <w:szCs w:val="20"/>
          <w:color w:val="auto"/>
        </w:rPr>
      </w:pPr>
    </w:p>
    <w:p>
      <w:pPr>
        <w:ind w:right="3940"/>
        <w:spacing w:after="0" w:line="435" w:lineRule="auto"/>
        <w:rPr>
          <w:sz w:val="20"/>
          <w:szCs w:val="20"/>
          <w:color w:val="auto"/>
        </w:rPr>
      </w:pPr>
      <w:r>
        <w:rPr>
          <w:rFonts w:ascii="Times New Roman" w:cs="Times New Roman" w:eastAsia="Times New Roman" w:hAnsi="Times New Roman"/>
          <w:sz w:val="22"/>
          <w:szCs w:val="22"/>
          <w:color w:val="auto"/>
        </w:rPr>
        <w:t xml:space="preserve">Materials will be available after the presentations on Eupraxia's website at: https://eupraxiapharma.com/our-science/clinical-trials-and-publications/default.aspx </w:t>
      </w:r>
      <w:r>
        <w:rPr>
          <w:rFonts w:ascii="Times New Roman" w:cs="Times New Roman" w:eastAsia="Times New Roman" w:hAnsi="Times New Roman"/>
          <w:sz w:val="22"/>
          <w:szCs w:val="22"/>
          <w:b w:val="1"/>
          <w:bCs w:val="1"/>
          <w:color w:val="auto"/>
        </w:rPr>
        <w:t>Investor event at DDW 2026</w:t>
      </w:r>
    </w:p>
    <w:p>
      <w:pPr>
        <w:spacing w:after="0" w:line="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The Company will also be hosting a virtual investor event on Monday, May 4 at 7am CT / 8am ET at Digestive Disease Week (DDW). The event will feature key opinion leaders (KOLs) Evan S. Dellon, MD, MPH (University of North Carolina School of Medicine) and Jeffrey D. Mosko, MD, MSc, FRCPC (University of Toronto), who will discuss the definition, prevalence, and treatment of recurrent esophageal strictures.</w:t>
      </w:r>
    </w:p>
    <w:p>
      <w:pPr>
        <w:spacing w:after="0" w:line="18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1"/>
          <w:szCs w:val="21"/>
          <w:color w:val="auto"/>
        </w:rPr>
        <w:t>Company management will also highlight the potential of its lead product candidate EP-104GI for the prevention of esophageal strictures. EP-104GI is a long-acting submucosal corticosteroid formulation to be injected within esophageal tissues, which has the potential to increase patient adherence by requiring fewer interventions while addressing local inflammation.</w:t>
      </w:r>
    </w:p>
    <w:p>
      <w:pPr>
        <w:spacing w:after="0" w:line="157" w:lineRule="exact"/>
        <w:rPr>
          <w:sz w:val="20"/>
          <w:szCs w:val="20"/>
          <w:color w:val="auto"/>
        </w:rPr>
      </w:pPr>
    </w:p>
    <w:p>
      <w:pPr>
        <w:ind w:right="5260"/>
        <w:spacing w:after="0" w:line="456" w:lineRule="auto"/>
        <w:rPr>
          <w:sz w:val="20"/>
          <w:szCs w:val="20"/>
          <w:color w:val="auto"/>
        </w:rPr>
      </w:pPr>
      <w:r>
        <w:rPr>
          <w:rFonts w:ascii="Times New Roman" w:cs="Times New Roman" w:eastAsia="Times New Roman" w:hAnsi="Times New Roman"/>
          <w:sz w:val="21"/>
          <w:szCs w:val="21"/>
          <w:color w:val="auto"/>
        </w:rPr>
        <w:t xml:space="preserve">Register for the event here - https://lifescievents.com/event/w0za2fn/ </w:t>
      </w:r>
      <w:r>
        <w:rPr>
          <w:rFonts w:ascii="Times New Roman" w:cs="Times New Roman" w:eastAsia="Times New Roman" w:hAnsi="Times New Roman"/>
          <w:sz w:val="21"/>
          <w:szCs w:val="21"/>
          <w:b w:val="1"/>
          <w:bCs w:val="1"/>
          <w:color w:val="auto"/>
        </w:rPr>
        <w:t>About Eupraxia Pharmaceuticals Inc.</w:t>
      </w:r>
    </w:p>
    <w:p>
      <w:pPr>
        <w:ind w:right="20"/>
        <w:spacing w:after="0" w:line="235" w:lineRule="auto"/>
        <w:rPr>
          <w:sz w:val="20"/>
          <w:szCs w:val="20"/>
          <w:color w:val="auto"/>
        </w:rPr>
      </w:pPr>
      <w:r>
        <w:rPr>
          <w:rFonts w:ascii="Times New Roman" w:cs="Times New Roman" w:eastAsia="Times New Roman" w:hAnsi="Times New Roman"/>
          <w:sz w:val="22"/>
          <w:szCs w:val="22"/>
          <w:color w:val="auto"/>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w:t>
      </w:r>
    </w:p>
    <w:p>
      <w:pPr>
        <w:spacing w:after="0" w:line="18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sectPr>
          <w:pgSz w:w="11900" w:h="16838" w:orient="portrait"/>
          <w:cols w:equalWidth="0" w:num="1">
            <w:col w:w="11240"/>
          </w:cols>
          <w:pgMar w:left="320" w:top="108" w:right="339" w:bottom="0" w:gutter="0" w:footer="0" w:header="0"/>
        </w:sectPr>
      </w:pPr>
    </w:p>
    <w:bookmarkStart w:id="4" w:name="page5"/>
    <w:bookmarkEnd w:id="4"/>
    <w:p>
      <w:pPr>
        <w:spacing w:after="0" w:line="235" w:lineRule="auto"/>
        <w:rPr>
          <w:sz w:val="20"/>
          <w:szCs w:val="20"/>
          <w:color w:val="auto"/>
        </w:rPr>
      </w:pPr>
      <w:r>
        <w:rPr>
          <w:rFonts w:ascii="Times New Roman" w:cs="Times New Roman" w:eastAsia="Times New Roman" w:hAnsi="Times New Roman"/>
          <w:sz w:val="22"/>
          <w:szCs w:val="22"/>
          <w:color w:val="auto"/>
        </w:rPr>
        <w:t>Eupraxia's EP-104GI is currently in a Phase 1b/2 trial, the RESOLVE trial, for the treatment of EoE. EP-104GI is administered as an injection into the esophageal wall, providing local delivery of drug. This is a unique treatment approach for EoE. Eupraxia also completed a Phase 2b clinical trial (SPRINGBOARD) of EP-104IAR for the treatment of pain due to knee osteoarthritis. The trial met its primary endpoint and three of the four secondary endpoints. In addition, Eupraxia is developing a pipeline of later and earlier-stage long-acting formulations. Potential pipeline indications include candidates for other inflammatory joint indications and oncology, each designed to improve on the activity and tolerability of currently approved drugs. For further details about Eupraxia, please visit the Company's website at: www.eupraxiapharma.com.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Meikle, Eupraxia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236.330.7084</w:t>
      </w:r>
    </w:p>
    <w:p>
      <w:pPr>
        <w:spacing w:after="0"/>
        <w:rPr>
          <w:sz w:val="20"/>
          <w:szCs w:val="20"/>
          <w:color w:val="auto"/>
        </w:rPr>
      </w:pPr>
      <w:r>
        <w:rPr>
          <w:rFonts w:ascii="Times New Roman" w:cs="Times New Roman" w:eastAsia="Times New Roman" w:hAnsi="Times New Roman"/>
          <w:sz w:val="22"/>
          <w:szCs w:val="22"/>
          <w:color w:val="auto"/>
        </w:rPr>
        <w:t>jmeikle@eupraxiapharma.com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Gardner, on behalf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Eupraxia Pharmaceuticals Inc.</w:t>
      </w:r>
    </w:p>
    <w:p>
      <w:pPr>
        <w:spacing w:after="0" w:line="230" w:lineRule="auto"/>
        <w:rPr>
          <w:sz w:val="20"/>
          <w:szCs w:val="20"/>
          <w:color w:val="auto"/>
        </w:rPr>
      </w:pPr>
      <w:r>
        <w:rPr>
          <w:rFonts w:ascii="Times New Roman" w:cs="Times New Roman" w:eastAsia="Times New Roman" w:hAnsi="Times New Roman"/>
          <w:sz w:val="22"/>
          <w:szCs w:val="22"/>
          <w:color w:val="auto"/>
        </w:rPr>
        <w:t>617.283.2856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kgardner@lifesciadvisors.com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Eupraxia Pharmaceuticals Inc.</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2026-04-22T06:02:18Z</dcterms:created>
  <dcterms:modified xsi:type="dcterms:W3CDTF">2026-04-22T06:02:18Z</dcterms:modified>
</cp:coreProperties>
</file>