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426.htm"/>
      <w:bookmarkStart w:id="1" w:name="ksf6k_090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 xml:space="preserve">Commission File Number: </w:t>
      </w:r>
      <w:r>
        <w:rPr>
          <w:rStyle w:val="StrongEmphasis"/>
        </w:rPr>
        <w:t>001-41923</w:t>
      </w:r>
    </w:p>
    <w:p>
      <w:pPr>
        <w:pStyle w:val="TextBody"/>
        <w:bidi w:val="0"/>
        <w:jc w:val="center"/>
        <w:rPr/>
      </w:pPr>
      <w:r>
        <w:rPr>
          <w:rStyle w:val="StrongEmphasis"/>
          <w:sz w:val="24"/>
        </w:rPr>
        <w:t>EUPRAXIA PHARMACEUTICALS INC.</w:t>
      </w:r>
      <w:r>
        <w:rPr/>
        <w:br/>
        <w:t>(Exact name of Registrant as specified in its charter)</w:t>
      </w:r>
    </w:p>
    <w:p>
      <w:pPr>
        <w:pStyle w:val="TextBody"/>
        <w:bidi w:val="0"/>
        <w:jc w:val="center"/>
        <w:rPr/>
      </w:pPr>
      <w:r>
        <w:rPr>
          <w:rStyle w:val="StrongEmphasis"/>
        </w:rPr>
        <w:t>N/A</w:t>
        <w:br/>
      </w:r>
      <w:r>
        <w:rPr/>
        <w:t>(Translation of Registrant’s name)</w:t>
      </w:r>
    </w:p>
    <w:p>
      <w:pPr>
        <w:pStyle w:val="TextBody"/>
        <w:bidi w:val="0"/>
        <w:jc w:val="center"/>
        <w:rPr/>
      </w:pPr>
      <w:r>
        <w:rPr>
          <w:rStyle w:val="StrongEmphasis"/>
        </w:rPr>
        <w:t>2198 Yukon Street</w:t>
        <w:br/>
        <w:t>Vancouver, British Columbia, Canada V5Y 3P1</w:t>
        <w:br/>
        <w:t>Telephone: (250) 590-3968 </w:t>
      </w:r>
      <w:r>
        <w:rPr/>
        <w:b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DOCUMENTS INCLUDED AS PART OF THIS REPORT</w:t>
      </w:r>
    </w:p>
    <w:tbl>
      <w:tblPr>
        <w:tblW w:w="4150" w:type="dxa"/>
        <w:jc w:val="left"/>
        <w:tblInd w:w="0" w:type="dxa"/>
        <w:tblLayout w:type="fixed"/>
        <w:tblCellMar>
          <w:top w:w="0" w:type="dxa"/>
          <w:left w:w="0" w:type="dxa"/>
          <w:bottom w:w="0" w:type="dxa"/>
          <w:right w:w="0" w:type="dxa"/>
        </w:tblCellMar>
      </w:tblPr>
      <w:tblGrid>
        <w:gridCol w:w="650"/>
        <w:gridCol w:w="300"/>
        <w:gridCol w:w="3200"/>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3200"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hyperlink w:anchor="exh_991.htm">
              <w:r>
                <w:rPr>
                  <w:rStyle w:val="InternetLink"/>
                  <w:sz w:val="20"/>
                </w:rPr>
                <w:t>Press Release dated September 8,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8,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Eupraxia Pharmaceuticals Completes Transfer to the Nasdaq Global Select Market and Announces Participation in Upcoming Investor Conferences</w:t>
      </w:r>
    </w:p>
    <w:p>
      <w:pPr>
        <w:pStyle w:val="TextBody"/>
        <w:bidi w:val="0"/>
        <w:jc w:val="both"/>
        <w:rPr/>
      </w:pPr>
      <w:r>
        <w:rPr/>
        <w:t>VANCOUVER, British Columbia, Sept. 08, 2026 (GLOBE NEWSWIRE) -- Eupraxia Pharmaceuticals Inc. (“Eupraxia” or the “Company”) (Nasdaq: EPRX) (TSX: EPRX), a clinical-stage biotechnology company leveraging its proprietary Diffusphere technology designed to optimize local, controlled drug delivery for applications with significant unmet need, announced today that its common shares have commenced trading on the Nasdaq Global Select Market. The Company also announced that members of its management team will participate in upcoming investor conferences.</w:t>
      </w:r>
    </w:p>
    <w:p>
      <w:pPr>
        <w:pStyle w:val="TextBody"/>
        <w:bidi w:val="0"/>
        <w:jc w:val="both"/>
        <w:rPr/>
      </w:pPr>
      <w:r>
        <w:rPr/>
        <w:t>The Company’s common shares were previously listed on the Nasdaq Capital Market and will continue to trade under the ticker symbol “EPRX.” Eupraxia’s listing on the Toronto Stock Exchange remains unchanged. No action is required by shareholders in connection with the transfer.</w:t>
      </w:r>
    </w:p>
    <w:p>
      <w:pPr>
        <w:pStyle w:val="TextBody"/>
        <w:bidi w:val="0"/>
        <w:jc w:val="both"/>
        <w:rPr/>
      </w:pPr>
      <w:r>
        <w:rPr/>
        <w:t>The Nasdaq Global Select Market is Nasdaq’s highest market tier and is reserved for companies that satisfy its most stringent initial financial and liquidity requirements, in addition to applicable corporate governance standards.</w:t>
      </w:r>
    </w:p>
    <w:p>
      <w:pPr>
        <w:pStyle w:val="TextBody"/>
        <w:bidi w:val="0"/>
        <w:jc w:val="both"/>
        <w:rPr/>
      </w:pPr>
      <w:r>
        <w:rPr/>
        <w:t>“</w:t>
      </w:r>
      <w:r>
        <w:rPr/>
        <w:t>Eupraxia’s graduation to the Nasdaq Global Select Market reflects the progress and growth of the Company,” said Alex Rothwell, Chief Financial Officer of Eupraxia. “We are pleased to have met the requirements for Nasdaq’s highest market tier as we continue advancing our clinical programs and working to create long-term value for patients and shareholders.”</w:t>
      </w:r>
    </w:p>
    <w:p>
      <w:pPr>
        <w:pStyle w:val="TextBody"/>
        <w:bidi w:val="0"/>
        <w:jc w:val="both"/>
        <w:rPr/>
      </w:pPr>
      <w:r>
        <w:rPr/>
        <w:t>In addition, Company management will present and participate in the following upcoming investor conferences:</w:t>
      </w:r>
    </w:p>
    <w:p>
      <w:pPr>
        <w:pStyle w:val="TextBody"/>
        <w:bidi w:val="0"/>
        <w:jc w:val="both"/>
        <w:rPr/>
      </w:pPr>
      <w:r>
        <w:rPr>
          <w:rStyle w:val="StrongEmphasis"/>
        </w:rPr>
        <w:t>Cantor Global Healthcare Conference</w:t>
      </w:r>
      <w:r>
        <w:rPr/>
        <w:br/>
      </w:r>
      <w:r>
        <w:rPr>
          <w:rStyle w:val="StrongEmphasis"/>
        </w:rPr>
        <w:t xml:space="preserve">Format: </w:t>
      </w:r>
      <w:r>
        <w:rPr/>
        <w:t>Fireside Chat &amp; 1x1 Meetings</w:t>
        <w:br/>
      </w:r>
      <w:r>
        <w:rPr>
          <w:rStyle w:val="StrongEmphasis"/>
        </w:rPr>
        <w:t>Fireside Chat Date &amp; Time:</w:t>
      </w:r>
      <w:r>
        <w:rPr/>
        <w:t xml:space="preserve"> September 11, 2026 at 9:45am ET</w:t>
        <w:br/>
      </w:r>
      <w:r>
        <w:rPr>
          <w:rStyle w:val="StrongEmphasis"/>
        </w:rPr>
        <w:t>Webcast Link</w:t>
      </w:r>
      <w:r>
        <w:rPr/>
        <w:br/>
      </w:r>
      <w:r>
        <w:rPr>
          <w:rStyle w:val="StrongEmphasis"/>
        </w:rPr>
        <w:t xml:space="preserve">Location: </w:t>
      </w:r>
      <w:r>
        <w:rPr/>
        <w:t>New York, NY</w:t>
      </w:r>
    </w:p>
    <w:p>
      <w:pPr>
        <w:pStyle w:val="TextBody"/>
        <w:bidi w:val="0"/>
        <w:jc w:val="both"/>
        <w:rPr/>
      </w:pPr>
      <w:r>
        <w:rPr>
          <w:rStyle w:val="StrongEmphasis"/>
        </w:rPr>
        <w:t>H.C. Wainwright 28</w:t>
      </w:r>
      <w:r>
        <w:rPr>
          <w:rStyle w:val="StrongEmphasis"/>
          <w:position w:val="8"/>
          <w:sz w:val="19"/>
        </w:rPr>
        <w:t>th</w:t>
      </w:r>
      <w:r>
        <w:rPr>
          <w:rStyle w:val="StrongEmphasis"/>
        </w:rPr>
        <w:t xml:space="preserve"> Annual Global Investment Conference</w:t>
      </w:r>
      <w:r>
        <w:rPr/>
        <w:br/>
      </w:r>
      <w:r>
        <w:rPr>
          <w:rStyle w:val="StrongEmphasis"/>
        </w:rPr>
        <w:t xml:space="preserve">Format: </w:t>
      </w:r>
      <w:r>
        <w:rPr/>
        <w:t>Company Presentation &amp; 1x1 Meetings</w:t>
        <w:br/>
      </w:r>
      <w:r>
        <w:rPr>
          <w:rStyle w:val="StrongEmphasis"/>
        </w:rPr>
        <w:t>Company Presentation Date &amp; Time:</w:t>
      </w:r>
      <w:r>
        <w:rPr/>
        <w:t xml:space="preserve"> September 14, 2026 at 2:00pm ET</w:t>
        <w:br/>
      </w:r>
      <w:r>
        <w:rPr>
          <w:rStyle w:val="StrongEmphasis"/>
        </w:rPr>
        <w:t>Webcast Link</w:t>
      </w:r>
      <w:r>
        <w:rPr/>
        <w:br/>
      </w:r>
      <w:r>
        <w:rPr>
          <w:rStyle w:val="StrongEmphasis"/>
        </w:rPr>
        <w:t xml:space="preserve">Location: </w:t>
      </w:r>
      <w:r>
        <w:rPr/>
        <w:t>New York, NY</w:t>
      </w:r>
    </w:p>
    <w:p>
      <w:pPr>
        <w:pStyle w:val="TextBody"/>
        <w:bidi w:val="0"/>
        <w:spacing w:before="0" w:after="283"/>
        <w:jc w:val="left"/>
        <w:rPr/>
      </w:pPr>
      <w:r>
        <w:rPr>
          <w:rStyle w:val="StrongEmphasis"/>
        </w:rPr>
        <w:t>Morgan Stanley 24</w:t>
      </w:r>
      <w:r>
        <w:rPr>
          <w:rStyle w:val="StrongEmphasis"/>
          <w:position w:val="8"/>
          <w:sz w:val="19"/>
        </w:rPr>
        <w:t>th</w:t>
      </w:r>
      <w:r>
        <w:rPr>
          <w:rStyle w:val="StrongEmphasis"/>
        </w:rPr>
        <w:t xml:space="preserve"> Annual Global Healthcare Conference</w:t>
      </w:r>
      <w:r>
        <w:rPr/>
        <w:br/>
      </w:r>
      <w:r>
        <w:rPr>
          <w:rStyle w:val="StrongEmphasis"/>
        </w:rPr>
        <w:t xml:space="preserve">Format: </w:t>
      </w:r>
      <w:r>
        <w:rPr/>
        <w:t>1x1 Meetings</w:t>
        <w:br/>
      </w:r>
      <w:r>
        <w:rPr>
          <w:rStyle w:val="StrongEmphasis"/>
        </w:rPr>
        <w:t>Date:</w:t>
      </w:r>
      <w:r>
        <w:rPr/>
        <w:t xml:space="preserve"> September 15 &amp; 16, 2026 </w:t>
        <w:br/>
      </w:r>
      <w:r>
        <w:rPr>
          <w:rStyle w:val="StrongEmphasis"/>
        </w:rPr>
        <w:t xml:space="preserve">Location: </w:t>
      </w:r>
      <w:r>
        <w:rPr/>
        <w:t>New York, NY</w:t>
      </w:r>
    </w:p>
    <w:p>
      <w:pPr>
        <w:pStyle w:val="TextBody"/>
        <w:bidi w:val="0"/>
        <w:spacing w:before="0" w:after="283"/>
        <w:jc w:val="left"/>
        <w:rPr/>
      </w:pPr>
      <w:r>
        <w:rPr>
          <w:rStyle w:val="StrongEmphasis"/>
        </w:rPr>
        <w:t>About Eupraxia Pharmaceuticals Inc.</w:t>
      </w:r>
    </w:p>
    <w:p>
      <w:pPr>
        <w:pStyle w:val="TextBody"/>
        <w:bidi w:val="0"/>
        <w:jc w:val="both"/>
        <w:rPr/>
      </w:pPr>
      <w:r>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  </w:t>
      </w:r>
    </w:p>
    <w:p>
      <w:pPr>
        <w:pStyle w:val="TextBody"/>
        <w:bidi w:val="0"/>
        <w:jc w:val="both"/>
        <w:rPr/>
      </w:pPr>
      <w:r>
        <w:rPr/>
        <w:t>Eupraxia's EP-104GI is currently in a Phase 1b/2 trial, the RESOLVE trial, for the treatment of EoE. EP-104GI is administered as an injection into the esophageal wall, providing local delivery of drug.  This is a unique treatment approach for EoE. In addition, Eupraxia is developing a pipeline of later and earlier-stage long-acting formulations.  For further details about Eupraxia, please visit the Company's website at: www.eupraxiapharma.com. </w:t>
        <w:br/>
        <w:t>  </w:t>
      </w:r>
    </w:p>
    <w:p>
      <w:pPr>
        <w:pStyle w:val="TextBody"/>
        <w:bidi w:val="0"/>
        <w:spacing w:before="0" w:after="283"/>
        <w:jc w:val="left"/>
        <w:rPr/>
      </w:pPr>
      <w:r>
        <w:rPr>
          <w:rStyle w:val="StrongEmphasis"/>
        </w:rPr>
        <w:t>For investor and media inquiries, please contact:</w:t>
      </w:r>
    </w:p>
    <w:p>
      <w:pPr>
        <w:pStyle w:val="TextBody"/>
        <w:bidi w:val="0"/>
        <w:spacing w:before="0" w:after="283"/>
        <w:jc w:val="left"/>
        <w:rPr/>
      </w:pPr>
      <w:r>
        <w:rPr/>
        <w:t>James Meikle, Eupraxia Pharmaceuticals Inc.</w:t>
        <w:br/>
        <w:t>236.330.7084</w:t>
        <w:br/>
        <w:t>jmeikle@eupraxiapharma.com</w:t>
      </w:r>
    </w:p>
    <w:p>
      <w:pPr>
        <w:pStyle w:val="TextBody"/>
        <w:bidi w:val="0"/>
        <w:spacing w:before="0" w:after="283"/>
        <w:jc w:val="left"/>
        <w:rPr/>
      </w:pPr>
      <w:r>
        <w:rPr/>
        <w:t>or</w:t>
      </w:r>
    </w:p>
    <w:p>
      <w:pPr>
        <w:pStyle w:val="TextBody"/>
        <w:bidi w:val="0"/>
        <w:spacing w:before="0" w:after="283"/>
        <w:jc w:val="left"/>
        <w:rPr/>
      </w:pPr>
      <w:r>
        <w:rPr/>
        <w:t>Kevin Gardner, on behalf of:</w:t>
        <w:br/>
        <w:t>Eupraxia Pharmaceuticals Inc.</w:t>
        <w:br/>
        <w:t>617.283.2856</w:t>
        <w:br/>
        <w:t>kgardner@lifesciadvisors.com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759</Words>
  <Characters>4530</Characters>
  <CharactersWithSpaces>5308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