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60" w:after="240"/>
        <w:jc w:val="center"/>
        <w:rPr>
          <w:bdr w:val="single" w:sz="20" w:space="1" w:color="000000"/>
        </w:rPr>
      </w:pPr>
      <w:bookmarkStart w:id="0" w:name="f6k_102226.htm"/>
      <w:bookmarkStart w:id="1" w:name="ksf6k_102226"/>
      <w:bookmarkEnd w:id="0"/>
      <w:bookmarkEnd w:id="1"/>
      <w:r>
        <w:rPr>
          <w:bdr w:val="single" w:sz="20" w:space="1" w:color="000000"/>
        </w:rPr>
        <w:t> </w:t>
      </w:r>
    </w:p>
    <w:p>
      <w:pPr>
        <w:pStyle w:val="TextBody"/>
        <w:bidi w:val="0"/>
        <w:jc w:val="center"/>
        <w:rPr/>
      </w:pPr>
      <w:r>
        <w:rPr>
          <w:rStyle w:val="StrongEmphasis"/>
          <w:sz w:val="28"/>
        </w:rPr>
        <w:t>UNITED STATES</w:t>
      </w:r>
      <w:r>
        <w:rPr>
          <w:sz w:val="28"/>
        </w:rPr>
        <w:br/>
      </w:r>
      <w:r>
        <w:rPr>
          <w:rStyle w:val="StrongEmphasis"/>
          <w:sz w:val="28"/>
        </w:rPr>
        <w:t>SECURITIES AND EXCHANGE COMMISSION</w:t>
      </w:r>
      <w:r>
        <w:rPr>
          <w:sz w:val="28"/>
        </w:rPr>
        <w:br/>
      </w:r>
      <w:r>
        <w:rPr>
          <w:rStyle w:val="StrongEmphasis"/>
          <w:sz w:val="28"/>
        </w:rPr>
        <w:t>Washington, D.C. 20549</w:t>
      </w:r>
    </w:p>
    <w:p>
      <w:pPr>
        <w:pStyle w:val="TextBody"/>
        <w:bidi w:val="0"/>
        <w:jc w:val="center"/>
        <w:rPr/>
      </w:pPr>
      <w:r>
        <w:rPr>
          <w:rStyle w:val="StrongEmphasis"/>
          <w:caps/>
          <w:sz w:val="28"/>
        </w:rPr>
        <w:t>Form 6-K</w:t>
      </w:r>
    </w:p>
    <w:p>
      <w:pPr>
        <w:pStyle w:val="TextBody"/>
        <w:bidi w:val="0"/>
        <w:jc w:val="center"/>
        <w:rPr/>
      </w:pPr>
      <w:r>
        <w:rPr>
          <w:rStyle w:val="StrongEmphasis"/>
        </w:rPr>
        <w:t>REPORT OF FOREIGN PRIVATE ISSUER PURSUANT TO RULE 13a-16 OR 15d-16 UNDER THE SECURITIES EXCHANGE ACT OF 1934</w:t>
      </w:r>
    </w:p>
    <w:p>
      <w:pPr>
        <w:pStyle w:val="TextBody"/>
        <w:bidi w:val="0"/>
        <w:jc w:val="center"/>
        <w:rPr/>
      </w:pPr>
      <w:r>
        <w:rPr>
          <w:rStyle w:val="StrongEmphasis"/>
        </w:rPr>
        <w:t>For the month of October 2026</w:t>
      </w:r>
    </w:p>
    <w:p>
      <w:pPr>
        <w:pStyle w:val="TextBody"/>
        <w:bidi w:val="0"/>
        <w:jc w:val="center"/>
        <w:rPr/>
      </w:pPr>
      <w:r>
        <w:rPr/>
        <w:t xml:space="preserve">Commission File Number: </w:t>
      </w:r>
      <w:r>
        <w:rPr>
          <w:rStyle w:val="StrongEmphasis"/>
        </w:rPr>
        <w:t>001-41923</w:t>
      </w:r>
    </w:p>
    <w:p>
      <w:pPr>
        <w:pStyle w:val="TextBody"/>
        <w:bidi w:val="0"/>
        <w:jc w:val="center"/>
        <w:rPr/>
      </w:pPr>
      <w:r>
        <w:rPr>
          <w:rStyle w:val="StrongEmphasis"/>
          <w:sz w:val="24"/>
        </w:rPr>
        <w:t>EUPRAXIA PHARMACEUTICALS INC.</w:t>
      </w:r>
      <w:r>
        <w:rPr/>
        <w:br/>
        <w:t>(Exact name of Registrant as specified in its charter)</w:t>
      </w:r>
    </w:p>
    <w:p>
      <w:pPr>
        <w:pStyle w:val="TextBody"/>
        <w:bidi w:val="0"/>
        <w:jc w:val="center"/>
        <w:rPr/>
      </w:pPr>
      <w:r>
        <w:rPr>
          <w:rStyle w:val="StrongEmphasis"/>
        </w:rPr>
        <w:t>N/A</w:t>
        <w:br/>
      </w:r>
      <w:r>
        <w:rPr/>
        <w:t>(Translation of Registrant’s name)</w:t>
      </w:r>
    </w:p>
    <w:p>
      <w:pPr>
        <w:pStyle w:val="TextBody"/>
        <w:bidi w:val="0"/>
        <w:jc w:val="center"/>
        <w:rPr/>
      </w:pPr>
      <w:r>
        <w:rPr>
          <w:rStyle w:val="StrongEmphasis"/>
        </w:rPr>
        <w:t>2198 Yukon Street</w:t>
        <w:br/>
        <w:t>Vancouver, British Columbia, Canada V5Y 3P1</w:t>
        <w:br/>
        <w:t>Telephone: (250) 590-3968 </w:t>
      </w:r>
      <w:r>
        <w:rPr/>
        <w:br/>
        <w:t>(Address and telephone number of registrant’s principal executive office)</w:t>
      </w:r>
    </w:p>
    <w:p>
      <w:pPr>
        <w:pStyle w:val="TextBody"/>
        <w:bidi w:val="0"/>
        <w:spacing w:before="0" w:after="283"/>
        <w:jc w:val="left"/>
        <w:rPr/>
      </w:pPr>
      <w:r>
        <w:rPr/>
        <w:t>Indicate by check mark whether the registrant files or will file annual reports under cover of Form 20-F or Form 40-F.</w:t>
        <w:br/>
        <w:t>Form 20-F [   ]      Form 40-F [ X ]</w:t>
      </w:r>
    </w:p>
    <w:p>
      <w:pPr>
        <w:pStyle w:val="TextBody"/>
        <w:bidi w:val="0"/>
        <w:spacing w:before="0" w:after="283"/>
        <w:jc w:val="left"/>
        <w:rPr/>
      </w:pPr>
      <w:r>
        <w:rPr/>
        <w:t> </w:t>
      </w:r>
    </w:p>
    <w:p>
      <w:pPr>
        <w:pStyle w:val="TextBody"/>
        <w:bidi w:val="0"/>
        <w:spacing w:before="0" w:after="283"/>
        <w:jc w:val="left"/>
        <w:rPr/>
      </w:pPr>
      <w:r>
        <w:rPr/>
        <w:t> </w:t>
      </w:r>
    </w:p>
    <w:p>
      <w:pPr>
        <w:pStyle w:val="HorizontalLine"/>
        <w:pBdr>
          <w:bottom w:val="single" w:sz="12" w:space="0" w:color="808080"/>
        </w:pBdr>
        <w:bidi w:val="0"/>
        <w:jc w:val="left"/>
        <w:rPr/>
      </w:pPr>
      <w:r>
        <w:rPr/>
      </w:r>
    </w:p>
    <w:p>
      <w:pPr>
        <w:pStyle w:val="TextBody"/>
        <w:bidi w:val="0"/>
        <w:jc w:val="center"/>
        <w:rPr/>
      </w:pPr>
      <w:r>
        <w:rPr>
          <w:rStyle w:val="StrongEmphasis"/>
          <w:sz w:val="20"/>
        </w:rPr>
        <w:t>DOCUMENTS INCLUDED AS PART OF THIS REPORT</w:t>
      </w:r>
    </w:p>
    <w:tbl>
      <w:tblPr>
        <w:tblW w:w="4045" w:type="dxa"/>
        <w:jc w:val="left"/>
        <w:tblInd w:w="0" w:type="dxa"/>
        <w:tblLayout w:type="fixed"/>
        <w:tblCellMar>
          <w:top w:w="0" w:type="dxa"/>
          <w:left w:w="0" w:type="dxa"/>
          <w:bottom w:w="0" w:type="dxa"/>
          <w:right w:w="0" w:type="dxa"/>
        </w:tblCellMar>
      </w:tblPr>
      <w:tblGrid>
        <w:gridCol w:w="650"/>
        <w:gridCol w:w="300"/>
        <w:gridCol w:w="3095"/>
      </w:tblGrid>
      <w:tr>
        <w:trPr/>
        <w:tc>
          <w:tcPr>
            <w:tcW w:w="650" w:type="dxa"/>
            <w:tcBorders/>
            <w:vAlign w:val="bottom"/>
          </w:tcPr>
          <w:p>
            <w:pPr>
              <w:pStyle w:val="TableContents"/>
              <w:bidi w:val="0"/>
              <w:spacing w:before="0" w:after="283"/>
              <w:jc w:val="left"/>
              <w:rPr/>
            </w:pPr>
            <w:r>
              <w:rPr>
                <w:rStyle w:val="StrongEmphasis"/>
                <w:sz w:val="20"/>
              </w:rPr>
              <w:t>Exhibit</w:t>
            </w:r>
          </w:p>
        </w:tc>
        <w:tc>
          <w:tcPr>
            <w:tcW w:w="300" w:type="dxa"/>
            <w:tcBorders/>
            <w:vAlign w:val="center"/>
          </w:tcPr>
          <w:p>
            <w:pPr>
              <w:pStyle w:val="TableContents"/>
              <w:bidi w:val="0"/>
              <w:spacing w:before="0" w:after="283"/>
              <w:jc w:val="left"/>
              <w:rPr/>
            </w:pPr>
            <w:r>
              <w:rPr/>
              <w:t> </w:t>
            </w:r>
          </w:p>
        </w:tc>
        <w:tc>
          <w:tcPr>
            <w:tcW w:w="3095" w:type="dxa"/>
            <w:tcBorders/>
            <w:vAlign w:val="bottom"/>
          </w:tcPr>
          <w:p>
            <w:pPr>
              <w:pStyle w:val="TableContents"/>
              <w:bidi w:val="0"/>
              <w:spacing w:before="0" w:after="283"/>
              <w:jc w:val="left"/>
              <w:rPr/>
            </w:pPr>
            <w:r>
              <w:rPr>
                <w:rStyle w:val="StrongEmphasis"/>
              </w:rPr>
              <w:t> </w:t>
            </w:r>
          </w:p>
        </w:tc>
      </w:tr>
      <w:tr>
        <w:trPr/>
        <w:tc>
          <w:tcPr>
            <w:tcW w:w="65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r>
              <w:rPr/>
              <w:t> </w:t>
            </w:r>
          </w:p>
        </w:tc>
      </w:tr>
      <w:tr>
        <w:trPr/>
        <w:tc>
          <w:tcPr>
            <w:tcW w:w="650" w:type="dxa"/>
            <w:tcBorders/>
            <w:vAlign w:val="center"/>
          </w:tcPr>
          <w:p>
            <w:pPr>
              <w:pStyle w:val="TableContents"/>
              <w:bidi w:val="0"/>
              <w:spacing w:before="0" w:after="283"/>
              <w:jc w:val="left"/>
              <w:rPr/>
            </w:pPr>
            <w:hyperlink w:anchor="exh_991.htm">
              <w:r>
                <w:rPr>
                  <w:rStyle w:val="InternetLink"/>
                  <w:sz w:val="20"/>
                </w:rPr>
                <w:t>99.1</w:t>
              </w:r>
            </w:hyperlink>
          </w:p>
        </w:tc>
        <w:tc>
          <w:tcPr>
            <w:tcW w:w="30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283"/>
              <w:jc w:val="left"/>
              <w:rPr/>
            </w:pPr>
            <w:hyperlink w:anchor="exh_991.htm">
              <w:r>
                <w:rPr>
                  <w:rStyle w:val="InternetLink"/>
                  <w:sz w:val="20"/>
                </w:rPr>
                <w:t>Press Release dated October 22, 2026</w:t>
              </w:r>
            </w:hyperlink>
            <w:r>
              <w:rPr>
                <w:sz w:val="20"/>
              </w:rPr>
              <w:t xml:space="preserve"> </w:t>
            </w:r>
          </w:p>
        </w:tc>
      </w:tr>
    </w:tbl>
    <w:p>
      <w:pPr>
        <w:pStyle w:val="HorizontalLine"/>
        <w:pBdr>
          <w:bottom w:val="single" w:sz="12" w:space="0" w:color="808080"/>
        </w:pBdr>
        <w:bidi w:val="0"/>
        <w:jc w:val="left"/>
        <w:rPr/>
      </w:pPr>
      <w:r>
        <w:rPr/>
      </w:r>
    </w:p>
    <w:p>
      <w:pPr>
        <w:pStyle w:val="TextBody"/>
        <w:bidi w:val="0"/>
        <w:jc w:val="center"/>
        <w:rPr/>
      </w:pPr>
      <w:r>
        <w:rPr>
          <w:rStyle w:val="StrongEmphasis"/>
        </w:rPr>
        <w:t>SIGNATURES</w:t>
      </w:r>
    </w:p>
    <w:p>
      <w:pPr>
        <w:pStyle w:val="TextBody"/>
        <w:bidi w:val="0"/>
        <w:spacing w:before="0" w:after="283"/>
        <w:jc w:val="left"/>
        <w:rPr/>
      </w:pPr>
      <w:r>
        <w:rPr/>
        <w:t>Pursuant to the requirements of the Securities Exchange Act of 1934, the registrant has duly caused this report to be signed on its behalf by the undersigned, thereunto duly authorized.</w:t>
      </w:r>
    </w:p>
    <w:tbl>
      <w:tblPr>
        <w:tblW w:w="5000" w:type="pct"/>
        <w:jc w:val="left"/>
        <w:tblInd w:w="0" w:type="dxa"/>
        <w:tblLayout w:type="fixed"/>
        <w:tblCellMar>
          <w:top w:w="0" w:type="dxa"/>
          <w:left w:w="0" w:type="dxa"/>
          <w:bottom w:w="0" w:type="dxa"/>
          <w:right w:w="0" w:type="dxa"/>
        </w:tblCellMar>
      </w:tblPr>
      <w:tblGrid>
        <w:gridCol w:w="4796"/>
        <w:gridCol w:w="612"/>
        <w:gridCol w:w="4797"/>
      </w:tblGrid>
      <w:tr>
        <w:trPr/>
        <w:tc>
          <w:tcPr>
            <w:tcW w:w="4796" w:type="dxa"/>
            <w:tcBorders/>
          </w:tcPr>
          <w:p>
            <w:pPr>
              <w:pStyle w:val="TableContents"/>
              <w:bidi w:val="0"/>
              <w:spacing w:before="0" w:after="283"/>
              <w:jc w:val="left"/>
              <w:rPr/>
            </w:pPr>
            <w:r>
              <w:rPr/>
              <w:t> </w:t>
            </w:r>
          </w:p>
        </w:tc>
        <w:tc>
          <w:tcPr>
            <w:tcW w:w="5409" w:type="dxa"/>
            <w:gridSpan w:val="2"/>
            <w:tcBorders/>
          </w:tcPr>
          <w:p>
            <w:pPr>
              <w:pStyle w:val="TableContents"/>
              <w:bidi w:val="0"/>
              <w:spacing w:before="0" w:after="283"/>
              <w:jc w:val="left"/>
              <w:rPr/>
            </w:pPr>
            <w:r>
              <w:rPr/>
              <w:t> </w:t>
            </w:r>
            <w:r>
              <w:rPr>
                <w:rStyle w:val="StrongEmphasis"/>
              </w:rPr>
              <w:t>EUPRAXIA PHARMACEUTICALS INC.</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center"/>
              <w:rPr/>
            </w:pPr>
            <w:r>
              <w:rPr/>
              <w:t>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r>
        <w:trPr/>
        <w:tc>
          <w:tcPr>
            <w:tcW w:w="4796" w:type="dxa"/>
            <w:tcBorders/>
          </w:tcPr>
          <w:p>
            <w:pPr>
              <w:pStyle w:val="TableContents"/>
              <w:bidi w:val="0"/>
              <w:spacing w:before="0" w:after="283"/>
              <w:jc w:val="left"/>
              <w:rPr/>
            </w:pPr>
            <w:r>
              <w:rPr/>
              <w:t>Date: October 22, 2026</w:t>
            </w:r>
          </w:p>
        </w:tc>
        <w:tc>
          <w:tcPr>
            <w:tcW w:w="612" w:type="dxa"/>
            <w:tcBorders/>
          </w:tcPr>
          <w:p>
            <w:pPr>
              <w:pStyle w:val="TableContents"/>
              <w:bidi w:val="0"/>
              <w:spacing w:before="0" w:after="283"/>
              <w:jc w:val="left"/>
              <w:rPr/>
            </w:pPr>
            <w:r>
              <w:rPr/>
              <w:t> </w:t>
            </w:r>
            <w:r>
              <w:rPr/>
              <w:t>By: </w:t>
            </w:r>
          </w:p>
        </w:tc>
        <w:tc>
          <w:tcPr>
            <w:tcW w:w="4797" w:type="dxa"/>
            <w:tcBorders/>
          </w:tcPr>
          <w:p>
            <w:pPr>
              <w:pStyle w:val="TableContents"/>
              <w:bidi w:val="0"/>
              <w:spacing w:before="0" w:after="283"/>
              <w:jc w:val="left"/>
              <w:rPr>
                <w:u w:val="single"/>
              </w:rPr>
            </w:pPr>
            <w:r>
              <w:rPr>
                <w:u w:val="single"/>
              </w:rPr>
              <w:t>/s/ Alex Rothwell                     </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Name: Alex Rothwell</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pPr>
            <w:r>
              <w:rPr/>
              <w:t>Title: Chief Financial Officer</w:t>
            </w:r>
          </w:p>
        </w:tc>
      </w:tr>
      <w:tr>
        <w:trPr/>
        <w:tc>
          <w:tcPr>
            <w:tcW w:w="4796" w:type="dxa"/>
            <w:tcBorders/>
          </w:tcPr>
          <w:p>
            <w:pPr>
              <w:pStyle w:val="TableContents"/>
              <w:bidi w:val="0"/>
              <w:spacing w:before="0" w:after="283"/>
              <w:jc w:val="left"/>
              <w:rPr/>
            </w:pPr>
            <w:r>
              <w:rPr/>
              <w:t> </w:t>
            </w:r>
          </w:p>
        </w:tc>
        <w:tc>
          <w:tcPr>
            <w:tcW w:w="612" w:type="dxa"/>
            <w:tcBorders/>
          </w:tcPr>
          <w:p>
            <w:pPr>
              <w:pStyle w:val="TableContents"/>
              <w:bidi w:val="0"/>
              <w:spacing w:before="0" w:after="283"/>
              <w:jc w:val="left"/>
              <w:rPr/>
            </w:pPr>
            <w:r>
              <w:rPr/>
              <w:t> </w:t>
            </w:r>
          </w:p>
        </w:tc>
        <w:tc>
          <w:tcPr>
            <w:tcW w:w="4797" w:type="dxa"/>
            <w:tcBorders/>
          </w:tcPr>
          <w:p>
            <w:pPr>
              <w:pStyle w:val="TableContents"/>
              <w:bidi w:val="0"/>
              <w:spacing w:before="0" w:after="283"/>
              <w:jc w:val="left"/>
              <w:rPr>
                <w:sz w:val="4"/>
                <w:szCs w:val="4"/>
              </w:rPr>
            </w:pPr>
            <w:r>
              <w:rPr>
                <w:sz w:val="4"/>
                <w:szCs w:val="4"/>
              </w:rPr>
            </w:r>
          </w:p>
        </w:tc>
      </w:tr>
    </w:tbl>
    <w:p>
      <w:pPr>
        <w:pStyle w:val="TextBody"/>
        <w:bidi w:val="0"/>
        <w:jc w:val="right"/>
        <w:rPr/>
      </w:pPr>
      <w:bookmarkStart w:id="2" w:name="exh_991.htm"/>
      <w:bookmarkStart w:id="3" w:name="ksexh_991"/>
      <w:bookmarkEnd w:id="2"/>
      <w:bookmarkEnd w:id="3"/>
      <w:r>
        <w:rPr>
          <w:rStyle w:val="StrongEmphasis"/>
        </w:rPr>
        <w:t>EXHIBIT 99.1</w:t>
      </w:r>
      <w:r>
        <w:br w:type="page"/>
      </w:r>
    </w:p>
    <w:p>
      <w:pPr>
        <w:pStyle w:val="TextBody"/>
        <w:bidi w:val="0"/>
        <w:jc w:val="center"/>
        <w:rPr/>
      </w:pPr>
      <w:r>
        <w:rPr>
          <w:rStyle w:val="StrongEmphasis"/>
          <w:sz w:val="28"/>
        </w:rPr>
        <w:t>Eupraxia Pharmaceuticals to Participate at Upcoming Conferences and Host a Virtual Analyst Day</w:t>
      </w:r>
    </w:p>
    <w:p>
      <w:pPr>
        <w:pStyle w:val="TextBody"/>
        <w:bidi w:val="0"/>
        <w:jc w:val="both"/>
        <w:rPr/>
      </w:pPr>
      <w:r>
        <w:rPr/>
        <w:t>VANCOUVER, British Columbia, Oct. 22, 2026 (GLOBE NEWSWIRE) -- Eupraxia Pharmaceuticals Inc. ("Eupraxia" or the "Company") (NASDAQ:EPRX) (TSX:EPRX), a clinical-stage biotechnology company leveraging its proprietary Diffusphere technology designed to optimize local, controlled drug delivery for applications with significant unmet need, today announced that the Company’s management team will participate in the following upcoming conferences and host a virtual Analyst Day:</w:t>
      </w:r>
    </w:p>
    <w:p>
      <w:pPr>
        <w:pStyle w:val="TextBody"/>
        <w:bidi w:val="0"/>
        <w:jc w:val="both"/>
        <w:rPr/>
      </w:pPr>
      <w:r>
        <w:rPr>
          <w:rStyle w:val="StrongEmphasis"/>
        </w:rPr>
        <w:t xml:space="preserve">Craig Hallum Biotech Catalyst Virtual Conference </w:t>
      </w:r>
      <w:r>
        <w:rPr>
          <w:rStyle w:val="Emphasis"/>
        </w:rPr>
        <w:t>(October 22</w:t>
      </w:r>
      <w:r>
        <w:rPr>
          <w:rStyle w:val="Emphasis"/>
          <w:position w:val="8"/>
          <w:sz w:val="19"/>
        </w:rPr>
        <w:t>nd</w:t>
      </w:r>
      <w:r>
        <w:rPr>
          <w:rStyle w:val="Emphasis"/>
        </w:rPr>
        <w:t>, 2026)</w:t>
      </w:r>
      <w:r>
        <w:rPr/>
        <w:br/>
      </w:r>
      <w:r>
        <w:rPr>
          <w:rStyle w:val="StrongEmphasis"/>
        </w:rPr>
        <w:t xml:space="preserve">Format: </w:t>
      </w:r>
      <w:r>
        <w:rPr/>
        <w:t>Fireside Chat &amp; 1x1 Meetings</w:t>
        <w:br/>
      </w:r>
      <w:r>
        <w:rPr>
          <w:rStyle w:val="StrongEmphasis"/>
        </w:rPr>
        <w:t>Fireside Chat Date &amp; Time:</w:t>
      </w:r>
      <w:r>
        <w:rPr/>
        <w:t xml:space="preserve"> October 22, 2026, at 10:30am ET</w:t>
        <w:br/>
      </w:r>
      <w:r>
        <w:rPr>
          <w:rStyle w:val="StrongEmphasis"/>
        </w:rPr>
        <w:t>Webcast link:</w:t>
      </w:r>
      <w:r>
        <w:rPr/>
        <w:t xml:space="preserve"> Here</w:t>
        <w:br/>
      </w:r>
      <w:r>
        <w:rPr>
          <w:rStyle w:val="StrongEmphasis"/>
        </w:rPr>
        <w:t xml:space="preserve">Location: </w:t>
      </w:r>
      <w:r>
        <w:rPr/>
        <w:t>Virtual</w:t>
      </w:r>
    </w:p>
    <w:p>
      <w:pPr>
        <w:pStyle w:val="TextBody"/>
        <w:bidi w:val="0"/>
        <w:spacing w:before="0" w:after="283"/>
        <w:jc w:val="left"/>
        <w:rPr/>
      </w:pPr>
      <w:r>
        <w:rPr>
          <w:rStyle w:val="StrongEmphasis"/>
        </w:rPr>
        <w:t xml:space="preserve">BIO-Europe </w:t>
      </w:r>
      <w:r>
        <w:rPr>
          <w:rStyle w:val="Emphasis"/>
        </w:rPr>
        <w:t>(November 9-11, 2026)</w:t>
      </w:r>
      <w:r>
        <w:rPr/>
        <w:br/>
      </w:r>
      <w:r>
        <w:rPr>
          <w:rStyle w:val="StrongEmphasis"/>
        </w:rPr>
        <w:t xml:space="preserve">Format: </w:t>
      </w:r>
      <w:r>
        <w:rPr/>
        <w:t>1x1 Meetings</w:t>
        <w:br/>
      </w:r>
      <w:r>
        <w:rPr>
          <w:rStyle w:val="StrongEmphasis"/>
        </w:rPr>
        <w:t xml:space="preserve">Location: </w:t>
      </w:r>
      <w:r>
        <w:rPr/>
        <w:t>Cologne, Germany</w:t>
      </w:r>
    </w:p>
    <w:p>
      <w:pPr>
        <w:pStyle w:val="TextBody"/>
        <w:bidi w:val="0"/>
        <w:jc w:val="both"/>
        <w:rPr/>
      </w:pPr>
      <w:r>
        <w:rPr>
          <w:rStyle w:val="StrongEmphasis"/>
        </w:rPr>
        <w:t xml:space="preserve">Stifel 2026 Healthcare Conference </w:t>
      </w:r>
      <w:r>
        <w:rPr>
          <w:rStyle w:val="Emphasis"/>
        </w:rPr>
        <w:t>(November 10-12, 2026)</w:t>
      </w:r>
      <w:r>
        <w:rPr/>
        <w:br/>
      </w:r>
      <w:r>
        <w:rPr>
          <w:rStyle w:val="StrongEmphasis"/>
        </w:rPr>
        <w:t xml:space="preserve">Format: </w:t>
      </w:r>
      <w:r>
        <w:rPr/>
        <w:t>Fireside Chat &amp; 1x1 Meetings</w:t>
        <w:br/>
      </w:r>
      <w:r>
        <w:rPr>
          <w:rStyle w:val="StrongEmphasis"/>
        </w:rPr>
        <w:t>Fireside Chat Date &amp; Time:</w:t>
      </w:r>
      <w:r>
        <w:rPr/>
        <w:t xml:space="preserve"> November 10, 2026, at 4:40pm ET</w:t>
        <w:br/>
      </w:r>
      <w:r>
        <w:rPr>
          <w:rStyle w:val="StrongEmphasis"/>
        </w:rPr>
        <w:t>Webcast Link:</w:t>
      </w:r>
      <w:r>
        <w:rPr/>
        <w:t xml:space="preserve"> Here </w:t>
        <w:br/>
      </w:r>
      <w:r>
        <w:rPr>
          <w:rStyle w:val="StrongEmphasis"/>
        </w:rPr>
        <w:t xml:space="preserve">Location: </w:t>
      </w:r>
      <w:r>
        <w:rPr/>
        <w:t>New York, NY</w:t>
      </w:r>
    </w:p>
    <w:p>
      <w:pPr>
        <w:pStyle w:val="TextBody"/>
        <w:bidi w:val="0"/>
        <w:jc w:val="both"/>
        <w:rPr/>
      </w:pPr>
      <w:r>
        <w:rPr>
          <w:rStyle w:val="StrongEmphasis"/>
        </w:rPr>
        <w:t xml:space="preserve">Virtual Analyst Day to Discuss EP-104GI for Eosinophilic Esophagitis </w:t>
      </w:r>
      <w:r>
        <w:rPr>
          <w:rStyle w:val="Emphasis"/>
        </w:rPr>
        <w:t>(November 13</w:t>
      </w:r>
      <w:r>
        <w:rPr>
          <w:rStyle w:val="Emphasis"/>
          <w:position w:val="8"/>
          <w:sz w:val="19"/>
        </w:rPr>
        <w:t>th</w:t>
      </w:r>
      <w:r>
        <w:rPr>
          <w:rStyle w:val="Emphasis"/>
        </w:rPr>
        <w:t>, 2026)</w:t>
      </w:r>
      <w:r>
        <w:rPr/>
        <w:br/>
      </w:r>
      <w:r>
        <w:rPr>
          <w:rStyle w:val="StrongEmphasis"/>
        </w:rPr>
        <w:t xml:space="preserve">Format: </w:t>
      </w:r>
      <w:r>
        <w:rPr/>
        <w:t>Presentation</w:t>
        <w:br/>
      </w:r>
      <w:r>
        <w:rPr>
          <w:rStyle w:val="StrongEmphasis"/>
        </w:rPr>
        <w:t>Presentation Date &amp; Time:</w:t>
      </w:r>
      <w:r>
        <w:rPr/>
        <w:t xml:space="preserve"> November 13, 2026, at 8:30am ET</w:t>
        <w:br/>
      </w:r>
      <w:r>
        <w:rPr>
          <w:rStyle w:val="StrongEmphasis"/>
        </w:rPr>
        <w:t>Webcast Link:</w:t>
      </w:r>
      <w:r>
        <w:rPr/>
        <w:t xml:space="preserve"> Here</w:t>
        <w:br/>
      </w:r>
      <w:r>
        <w:rPr>
          <w:rStyle w:val="StrongEmphasis"/>
        </w:rPr>
        <w:t xml:space="preserve">Location: </w:t>
      </w:r>
      <w:r>
        <w:rPr/>
        <w:t>Virtual</w:t>
      </w:r>
    </w:p>
    <w:p>
      <w:pPr>
        <w:pStyle w:val="TextBody"/>
        <w:bidi w:val="0"/>
        <w:jc w:val="both"/>
        <w:rPr/>
      </w:pPr>
      <w:r>
        <w:rPr>
          <w:rStyle w:val="StrongEmphasis"/>
        </w:rPr>
        <w:t xml:space="preserve">2026 Jefferies Global Healthcare Conference in London </w:t>
      </w:r>
      <w:r>
        <w:rPr>
          <w:rStyle w:val="Emphasis"/>
        </w:rPr>
        <w:t>(November 16-19, 2026)</w:t>
      </w:r>
      <w:r>
        <w:rPr/>
        <w:br/>
      </w:r>
      <w:r>
        <w:rPr>
          <w:rStyle w:val="StrongEmphasis"/>
        </w:rPr>
        <w:t xml:space="preserve">Format: </w:t>
      </w:r>
      <w:r>
        <w:rPr/>
        <w:t>Presentation &amp; 1x1 Meetings</w:t>
        <w:br/>
      </w:r>
      <w:r>
        <w:rPr>
          <w:rStyle w:val="StrongEmphasis"/>
        </w:rPr>
        <w:t>Presentation Date &amp; Time:</w:t>
      </w:r>
      <w:r>
        <w:rPr/>
        <w:t xml:space="preserve"> November 16, 2026, at 1:30pm GMT</w:t>
        <w:br/>
      </w:r>
      <w:r>
        <w:rPr>
          <w:rStyle w:val="StrongEmphasis"/>
        </w:rPr>
        <w:t>Webcast Link:</w:t>
      </w:r>
      <w:r>
        <w:rPr/>
        <w:t xml:space="preserve"> Here</w:t>
        <w:br/>
      </w:r>
      <w:r>
        <w:rPr>
          <w:rStyle w:val="StrongEmphasis"/>
        </w:rPr>
        <w:t xml:space="preserve">Location: </w:t>
      </w:r>
      <w:r>
        <w:rPr/>
        <w:t>London, UK</w:t>
      </w:r>
    </w:p>
    <w:p>
      <w:pPr>
        <w:pStyle w:val="TextBody"/>
        <w:bidi w:val="0"/>
        <w:spacing w:before="0" w:after="283"/>
        <w:jc w:val="left"/>
        <w:rPr/>
      </w:pPr>
      <w:r>
        <w:rPr>
          <w:rStyle w:val="StrongEmphasis"/>
        </w:rPr>
        <w:t>About Eupraxia Pharmaceuticals Inc.</w:t>
      </w:r>
    </w:p>
    <w:p>
      <w:pPr>
        <w:pStyle w:val="TextBody"/>
        <w:bidi w:val="0"/>
        <w:spacing w:before="0" w:after="283"/>
        <w:jc w:val="left"/>
        <w:rPr/>
      </w:pPr>
      <w:r>
        <w:rPr/>
        <w:t>Eupraxia is a clinical-stage biotechnology company focused on the development of locally delivered, extended-release products that have the potential to address therapeutic areas with high unmet medical need. Diffusphere, a proprietary, polymer-based micro-sphere technology, is designed to facilitate targeted drug delivery of both existing and novel drugs. The technology is designed to support extended duration of effect and delivery of drugs in a hyper-localized fashion, targeting only the tissues that physicians are wanting to treat. We believe the potential for fewer adverse events may be achieved through the precision targeting and the stable and flat delivery of the active ingredient when using the Diffusphere technology, versus the peaks and troughs seen with more traditional drug delivery methods. The precision of Eupraxia's Diffusphere technology platform has the potential to augment and transform existing FDA-approved drugs to improve their safety, tolerability, efficacy and duration of effect. The potential uses in therapeutic areas may go beyond pain and inflammatory gastrointestinal disease, where Eupraxia currently is developing advanced treatments, to also be applicable in oncology, infectious disease and other critical disease areas.</w:t>
      </w:r>
    </w:p>
    <w:p>
      <w:pPr>
        <w:pStyle w:val="TextBody"/>
        <w:bidi w:val="0"/>
        <w:spacing w:before="0" w:after="283"/>
        <w:jc w:val="left"/>
        <w:rPr/>
      </w:pPr>
      <w:r>
        <w:rPr/>
        <w:t>EP-104GI and the Diffusphere technology platform are investigational products. Their effects on safety, tolerability, efficacy, and duration of effect have not been established and require evaluation in appropriate clinical studies.</w:t>
      </w:r>
    </w:p>
    <w:p>
      <w:pPr>
        <w:pStyle w:val="TextBody"/>
        <w:bidi w:val="0"/>
        <w:spacing w:before="0" w:after="283"/>
        <w:jc w:val="left"/>
        <w:rPr/>
      </w:pPr>
      <w:r>
        <w:rPr/>
        <w:t>Eupraxia's EP-104GI is currently in a Phase 1b/2 trial, the RESOLVE trial, for the treatment of EoE. EP-104GI is administered as an injection into the esophageal wall, providing local delivery of drug. This is a unique treatment approach for EoE. In addition, Eupraxia is developing a pipeline of later and earlier-stage long-acting formulations. For further details about Eupraxia, please visit the Company's website at: www.eupraxiapharma.com.</w:t>
      </w:r>
    </w:p>
    <w:p>
      <w:pPr>
        <w:pStyle w:val="TextBody"/>
        <w:bidi w:val="0"/>
        <w:spacing w:before="0" w:after="283"/>
        <w:jc w:val="left"/>
        <w:rPr/>
      </w:pPr>
      <w:r>
        <w:rPr>
          <w:rStyle w:val="StrongEmphasis"/>
        </w:rPr>
        <w:t>For investor and media inquiries, please contact:</w:t>
      </w:r>
    </w:p>
    <w:p>
      <w:pPr>
        <w:pStyle w:val="TextBody"/>
        <w:bidi w:val="0"/>
        <w:spacing w:before="0" w:after="283"/>
        <w:jc w:val="left"/>
        <w:rPr/>
      </w:pPr>
      <w:r>
        <w:rPr>
          <w:rStyle w:val="StrongEmphasis"/>
        </w:rPr>
        <w:t xml:space="preserve">Company and Investor Contact </w:t>
      </w:r>
      <w:r>
        <w:rPr/>
        <w:br/>
        <w:t xml:space="preserve">James Meikle, Eupraxia Pharmaceuticals Inc. </w:t>
        <w:br/>
        <w:t xml:space="preserve">236-330-7084 </w:t>
        <w:br/>
        <w:t>jmeikle@eupraxiapharma.com</w:t>
      </w:r>
    </w:p>
    <w:p>
      <w:pPr>
        <w:pStyle w:val="TextBody"/>
        <w:bidi w:val="0"/>
        <w:spacing w:before="0" w:after="283"/>
        <w:jc w:val="left"/>
        <w:rPr/>
      </w:pPr>
      <w:r>
        <w:rPr/>
        <w:t>or</w:t>
      </w:r>
    </w:p>
    <w:p>
      <w:pPr>
        <w:pStyle w:val="TextBody"/>
        <w:bidi w:val="0"/>
        <w:spacing w:before="0" w:after="283"/>
        <w:jc w:val="left"/>
        <w:rPr/>
      </w:pPr>
      <w:r>
        <w:rPr/>
        <w:t xml:space="preserve">Kevin Gardner, on behalf of: </w:t>
        <w:br/>
        <w:t xml:space="preserve">Eupraxia Pharmaceuticals Inc. </w:t>
        <w:br/>
        <w:t xml:space="preserve">617-283-2856 </w:t>
        <w:br/>
        <w:t>kgardner@lifesciadvisors.com</w:t>
      </w:r>
    </w:p>
    <w:p>
      <w:pPr>
        <w:pStyle w:val="TextBody"/>
        <w:bidi w:val="0"/>
        <w:spacing w:before="0" w:after="283"/>
        <w:jc w:val="left"/>
        <w:rPr/>
      </w:pPr>
      <w:r>
        <w:rPr>
          <w:rStyle w:val="StrongEmphasis"/>
        </w:rPr>
        <w:t>Media Contact</w:t>
      </w:r>
      <w:r>
        <w:rPr/>
        <w:t> </w:t>
        <w:br/>
        <w:t>Jason Braco, PhD </w:t>
        <w:br/>
        <w:t>Valence Communications </w:t>
        <w:br/>
        <w:t>jason@valencecomms.com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698</Words>
  <Characters>4226</Characters>
  <CharactersWithSpaces>4944</CharactersWithSpaces>
  <Paragraphs>58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