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001-41923</w:t>
      </w:r>
    </w:p>
    <w:p>
      <w:pPr>
        <w:spacing w:after="0" w:line="2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EUPRAXIA PHARMACEUTICALS INC.</w:t>
      </w:r>
    </w:p>
    <w:p>
      <w:pPr>
        <w:spacing w:after="0" w:line="1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color w:val="auto"/>
        </w:rPr>
        <w:t>(Translation of Registrant’s name)</w:t>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2198 Yukon Street</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Vancouver, British Columbia, Canada V5Y 3P1</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Telephone: (250) 590-3968</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0000EE"/>
              </w:rPr>
              <w:t>Press Release dated June 19,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gridSpan w:val="5"/>
          </w:tcPr>
          <w:p>
            <w:pPr>
              <w:ind w:left="140"/>
              <w:spacing w:after="0" w:line="196" w:lineRule="exact"/>
              <w:rPr>
                <w:sz w:val="20"/>
                <w:szCs w:val="20"/>
                <w:color w:val="auto"/>
              </w:rPr>
            </w:pPr>
            <w:r>
              <w:rPr>
                <w:rFonts w:ascii="Times New Roman" w:cs="Times New Roman" w:eastAsia="Times New Roman" w:hAnsi="Times New Roman"/>
                <w:sz w:val="18"/>
                <w:szCs w:val="18"/>
                <w:color w:val="0000EE"/>
              </w:rPr>
              <w:t>Report of Voting Results</w:t>
            </w:r>
          </w:p>
        </w:tc>
      </w:tr>
      <w:tr>
        <w:trPr>
          <w:trHeight w:val="139"/>
        </w:trPr>
        <w:tc>
          <w:tcPr>
            <w:tcW w:w="320" w:type="dxa"/>
            <w:vAlign w:val="bottom"/>
            <w:tcBorders>
              <w:top w:val="single" w:sz="8" w:color="0000EE"/>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880" w:type="dxa"/>
            <w:vAlign w:val="bottom"/>
            <w:tcBorders>
              <w:top w:val="single" w:sz="8" w:color="0000EE"/>
              <w:bottom w:val="single" w:sz="8" w:color="808080"/>
            </w:tcBorders>
          </w:tcPr>
          <w:p>
            <w:pPr>
              <w:spacing w:after="0"/>
              <w:rPr>
                <w:sz w:val="12"/>
                <w:szCs w:val="12"/>
                <w:color w:val="auto"/>
              </w:rPr>
            </w:pPr>
          </w:p>
        </w:tc>
        <w:tc>
          <w:tcPr>
            <w:tcW w:w="900" w:type="dxa"/>
            <w:vAlign w:val="bottom"/>
            <w:tcBorders>
              <w:top w:val="single" w:sz="8" w:color="0000EE"/>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72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22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EUPRAXIA PHARMACEUTICALS INC.</w:t>
            </w:r>
          </w:p>
        </w:tc>
      </w:tr>
      <w:tr>
        <w:trPr>
          <w:trHeight w:val="60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19, 2026</w:t>
            </w:r>
          </w:p>
        </w:tc>
        <w:tc>
          <w:tcPr>
            <w:tcW w:w="52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By:/s/ Alex Rothwell</w:t>
            </w:r>
          </w:p>
        </w:tc>
      </w:tr>
      <w:tr>
        <w:trPr>
          <w:trHeight w:val="218"/>
        </w:trPr>
        <w:tc>
          <w:tcPr>
            <w:tcW w:w="3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Alex Rothwell</w:t>
            </w:r>
          </w:p>
        </w:tc>
        <w:tc>
          <w:tcPr>
            <w:tcW w:w="44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Eupraxia Pharmaceuticals Announces Voting Results from Annual General Meeting of Shareholders</w:t>
      </w:r>
    </w:p>
    <w:p>
      <w:pPr>
        <w:spacing w:after="0" w:line="22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VANCOUVER, British Columbia, June 19, 2026 (GLOBE NEWSWIRE) -- Eupraxia Pharmaceuticals Inc. (“</w:t>
      </w:r>
      <w:r>
        <w:rPr>
          <w:rFonts w:ascii="Times New Roman" w:cs="Times New Roman" w:eastAsia="Times New Roman" w:hAnsi="Times New Roman"/>
          <w:sz w:val="22"/>
          <w:szCs w:val="22"/>
          <w:b w:val="1"/>
          <w:bCs w:val="1"/>
          <w:color w:val="auto"/>
        </w:rPr>
        <w:t>Eupraxia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(TSX: EPRX) (NASDAQ: EPRX), a clinical-stage biotechnology company leveraging its proprietary Diffusphere™ technology designed to optimize local, controlled drug delivery for applications with significant unmet need, is pleased to announce the results from its Annual General Meeting of Shareholders (the “</w:t>
      </w:r>
      <w:r>
        <w:rPr>
          <w:rFonts w:ascii="Times New Roman" w:cs="Times New Roman" w:eastAsia="Times New Roman" w:hAnsi="Times New Roman"/>
          <w:sz w:val="22"/>
          <w:szCs w:val="22"/>
          <w:b w:val="1"/>
          <w:bCs w:val="1"/>
          <w:color w:val="auto"/>
        </w:rPr>
        <w:t>Meeting</w:t>
      </w:r>
      <w:r>
        <w:rPr>
          <w:rFonts w:ascii="Times New Roman" w:cs="Times New Roman" w:eastAsia="Times New Roman" w:hAnsi="Times New Roman"/>
          <w:sz w:val="22"/>
          <w:szCs w:val="22"/>
          <w:color w:val="auto"/>
        </w:rPr>
        <w:t>”) held on June 18, 2026.</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Pursuant to a resolution passed by ballot vote, all of the seven nominees proposed by management for election to the Company’s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at the Meeting and listed in the Company’s Management Information Circular dated May 11, 2026, were elected. The directors will remain in office until the next annual meeting of shareholders, or until their successors are elected or appointed.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results of the vote on the election of the Board are as follows: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Board of Directors</w:t>
            </w:r>
          </w:p>
        </w:tc>
        <w:tc>
          <w:tcPr>
            <w:tcW w:w="4180" w:type="dxa"/>
            <w:vAlign w:val="bottom"/>
            <w:tcBorders>
              <w:top w:val="single" w:sz="8" w:color="auto"/>
              <w:bottom w:val="single" w:sz="8" w:color="auto"/>
              <w:right w:val="single" w:sz="8" w:color="auto"/>
            </w:tcBorders>
            <w:gridSpan w:val="2"/>
          </w:tcPr>
          <w:p>
            <w:pPr>
              <w:ind w:left="1360"/>
              <w:spacing w:after="0"/>
              <w:rPr>
                <w:sz w:val="20"/>
                <w:szCs w:val="20"/>
                <w:color w:val="auto"/>
              </w:rPr>
            </w:pPr>
            <w:r>
              <w:rPr>
                <w:rFonts w:ascii="Times New Roman" w:cs="Times New Roman" w:eastAsia="Times New Roman" w:hAnsi="Times New Roman"/>
                <w:sz w:val="22"/>
                <w:szCs w:val="22"/>
                <w:b w:val="1"/>
                <w:bCs w:val="1"/>
                <w:color w:val="auto"/>
              </w:rPr>
              <w:t>Votes in Favour</w:t>
            </w:r>
          </w:p>
        </w:tc>
        <w:tc>
          <w:tcPr>
            <w:tcW w:w="4200" w:type="dxa"/>
            <w:vAlign w:val="bottom"/>
            <w:tcBorders>
              <w:top w:val="single" w:sz="8" w:color="auto"/>
              <w:bottom w:val="single" w:sz="8" w:color="auto"/>
              <w:right w:val="single" w:sz="8" w:color="auto"/>
            </w:tcBorders>
            <w:gridSpan w:val="2"/>
          </w:tcPr>
          <w:p>
            <w:pPr>
              <w:ind w:left="1380"/>
              <w:spacing w:after="0"/>
              <w:rPr>
                <w:sz w:val="20"/>
                <w:szCs w:val="20"/>
                <w:color w:val="auto"/>
              </w:rPr>
            </w:pPr>
            <w:r>
              <w:rPr>
                <w:rFonts w:ascii="Times New Roman" w:cs="Times New Roman" w:eastAsia="Times New Roman" w:hAnsi="Times New Roman"/>
                <w:sz w:val="22"/>
                <w:szCs w:val="22"/>
                <w:b w:val="1"/>
                <w:bCs w:val="1"/>
                <w:color w:val="auto"/>
              </w:rPr>
              <w:t>Votes Withheld</w:t>
            </w:r>
          </w:p>
        </w:tc>
      </w:tr>
      <w:tr>
        <w:trPr>
          <w:trHeight w:val="264"/>
        </w:trPr>
        <w:tc>
          <w:tcPr>
            <w:tcW w:w="2860" w:type="dxa"/>
            <w:vAlign w:val="bottom"/>
            <w:tcBorders>
              <w:left w:val="single" w:sz="8" w:color="auto"/>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 Votes</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w:t>
            </w:r>
          </w:p>
        </w:tc>
        <w:tc>
          <w:tcPr>
            <w:tcW w:w="21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b w:val="1"/>
                <w:bCs w:val="1"/>
                <w:color w:val="auto"/>
              </w:rPr>
              <w:t>Number of Votes</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w:t>
            </w:r>
          </w:p>
        </w:tc>
      </w:tr>
      <w:tr>
        <w:trPr>
          <w:trHeight w:val="263"/>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James A. Helliwell</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19,815,199</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99.784</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42,865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0.216</w:t>
            </w:r>
          </w:p>
        </w:tc>
      </w:tr>
      <w:tr>
        <w:trPr>
          <w:trHeight w:val="263"/>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Simon Pimstone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18,091,080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91.102</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1,766,984</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8.898</w:t>
            </w:r>
          </w:p>
        </w:tc>
      </w:tr>
      <w:tr>
        <w:trPr>
          <w:trHeight w:val="263"/>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Richard M. Glickman</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19,443,941</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97.915</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414,123</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2.085</w:t>
            </w:r>
          </w:p>
        </w:tc>
      </w:tr>
      <w:tr>
        <w:trPr>
          <w:trHeight w:val="263"/>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John Montalbano</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19,470,318</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98.047</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387,746</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1.953</w:t>
            </w:r>
          </w:p>
        </w:tc>
      </w:tr>
      <w:tr>
        <w:trPr>
          <w:trHeight w:val="264"/>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Joseph Freedman</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19,828,021</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99.849</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30,043</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0.151</w:t>
            </w:r>
          </w:p>
        </w:tc>
      </w:tr>
      <w:tr>
        <w:trPr>
          <w:trHeight w:val="263"/>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Amy Pott</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19,828,243</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99.850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29,821</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0.150</w:t>
            </w:r>
          </w:p>
        </w:tc>
      </w:tr>
      <w:tr>
        <w:trPr>
          <w:trHeight w:val="263"/>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Robert Bazemore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19,853,021</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99.975</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5,043</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0.025</w:t>
            </w:r>
          </w:p>
        </w:tc>
      </w:tr>
    </w:tbl>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other item of business at the Meeting was to re-appoint KPMG LLP as the auditor of the Company for the ensuing year and to authorize the Board to fix the remuneration of the auditors. All items of business were passed by the shareholders at the Meeting.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Eupraxia Pharmaceuticals Inc.</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Eupraxia's EP-104GI is currently in a Phase 1b/2 trial, the RESOLVE trial, for the treatment of EoE. EP-104GI is administered as an injection into the esophageal wall, providing local delivery of drug. This is a unique treatment approach for EoE. Eupraxia also completed a Phase 2b clinical trial (SPRINGBOARD) of EP-104IAR for the treatment of pain due to knee osteoarthritis. The trial met its primary endpoint and three of the four secondary endpoints. In addition, Eupraxia is developing a pipeline of later and earlier-stage long-acting formulations. Potential pipeline indications include candidates for other inflammatory joint indications and oncology, each designed to improve on the activity and tolerability of currently approved drugs. For further details about Eupraxia, please visit the Company's website at: www.eupraxiapharma.com.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Notice Regarding Forward-looking Statements and Information</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news release includes forward-looking statements and forward-looking information within the meaning of applicable securities laws. Often, but not always, forward-looking information can be identified by the use of words such as "plans", "is expected", "expects", “suggests”, "scheduled", "intends", "contemplates", "anticipates", "believes", "proposes", "potential" or variations (including negative and grammatical variations) of such words and phrases, or state that certain actions, events or results "may", "could", "would", "might" or "will" be taken, occur or be achieved. Forward looking statements in this news release include statements regarding the Company's product candidates, including their expected benefits with respect to safety, tolerability, efficacy and duration; the results gathered from studies and trials of Eupraxia's product candidates; the potential for the Company's technology to impact the drug delivery process; potential market opportunity for the Company’s product candidates, and potential pipeline indications. Such statements and information are based on the current expectations of Eupraxia's management, and are based on assumptions, including but not limited to: future research and development plans for the Company proceeding substantially as currently envisioned; industry growth trends, including with respect to projected and actual industry sales; the Company's ability to obtain positive results from the Company's research and development activities, including clinical trials; and the Company's ability to protect patents and proprietary rights. Although Eupraxia's management believes that the assumptions underlying these statements and information are reasonable, they may prove to be incorrect. The</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43" w:lineRule="auto"/>
        <w:rPr>
          <w:sz w:val="20"/>
          <w:szCs w:val="20"/>
          <w:color w:val="auto"/>
        </w:rPr>
      </w:pPr>
      <w:r>
        <w:rPr>
          <w:rFonts w:ascii="Times New Roman" w:cs="Times New Roman" w:eastAsia="Times New Roman" w:hAnsi="Times New Roman"/>
          <w:sz w:val="21"/>
          <w:szCs w:val="21"/>
          <w:color w:val="auto"/>
        </w:rPr>
        <w:t>forward-looking events and circumstances discussed in this news release may not occur by certain dates or at all and could differ materially as a result of known and unknown risk factors and uncertainties affecting Eupraxia, including, but not limited to: risks and uncertainties related to the Company's limited operating history; the Company's novel technology with uncertain market acceptance; if the Company breaches any of the agreements under which it licenses rights to its product candidates or technology from third parties, the possibility the Company could lose license rights that are important to its business; the Company's current license agreement may not provide an adequate remedy for its breach by the licensor; the possibility that the Company's technology may not be successful for its intended use; the fact that the Company's future technology will require regulatory approval, which is costly and the Company may not be able to obtain it; the possibility that the Company may fail to obtain regulatory approvals or only obtain approvals for limited uses or indications; the possibility that the Company's clinical trials may fail to demonstrate adequately the safety and efficacy of its product candidates at any stage of clinical development; the possibility that the Company may be required to suspend or discontinue clinical trials due to side effects or other safety risks; the fact that the Company completely relies on third parties to provide supplies and inputs required for its product candidates and services; the potential impact of tariffs on the cost of the Company’s active pharmaceutical ingredients and clinical supplies of EP-104IAR and EP-104GI; the fact that the Company relies on external contract research organizations to provide clinical and non-clinical research services; the possibility the Company may not be able to successfully execute its business strategy; the fact that the Company will require additional financing, which may not be available; the fact that any therapeutics the Company develops will be subject to extensive, lengthy and uncertain regulatory requirements, which could adversely affect the Company's ability to obtain regulatory approval in a timely manner, or at all; the impact of health pandemics or epidemics on the Company's operations; the Company's restatement of its consolidated financial statements, which may lead to additional risks and uncertainties, including loss of investor confidence and negative impacts on the Company's common share price; and other risks and uncertainties described in more detail in Eupraxia's public filings on SEDAR+ (sedarplus.ca) and EDGAR (sec.gov). Although Eupraxia has attempted to identify important factors that could cause actual actions, events or results to differ materially from those described in forward-looking statements and information, there may be other factors that cause actions, events or results to differ from those anticipated, estimated or intended. No forward-looking statement or information can be guaranteed. Except as required by applicable securities laws, forward-looking statements and information speak only as of the date on which they are made and Eupraxia undertakes no obligation to publicly update or revise any forward-looking statement or information, whether as a result of new information, future events or otherwise.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Meikle, Eupraxia Pharmaceuticals Inc.</w:t>
      </w:r>
    </w:p>
    <w:p>
      <w:pPr>
        <w:spacing w:after="0" w:line="230" w:lineRule="auto"/>
        <w:rPr>
          <w:sz w:val="20"/>
          <w:szCs w:val="20"/>
          <w:color w:val="auto"/>
        </w:rPr>
      </w:pPr>
      <w:r>
        <w:rPr>
          <w:rFonts w:ascii="Times New Roman" w:cs="Times New Roman" w:eastAsia="Times New Roman" w:hAnsi="Times New Roman"/>
          <w:sz w:val="22"/>
          <w:szCs w:val="22"/>
          <w:color w:val="auto"/>
        </w:rPr>
        <w:t>236.330.7084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jmeikle@eupraxiapharma.com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Gardner,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Eupraxia Pharmaceuticals Inc.</w:t>
      </w:r>
    </w:p>
    <w:p>
      <w:pPr>
        <w:spacing w:after="0" w:line="230" w:lineRule="auto"/>
        <w:rPr>
          <w:sz w:val="20"/>
          <w:szCs w:val="20"/>
          <w:color w:val="auto"/>
        </w:rPr>
      </w:pPr>
      <w:r>
        <w:rPr>
          <w:rFonts w:ascii="Times New Roman" w:cs="Times New Roman" w:eastAsia="Times New Roman" w:hAnsi="Times New Roman"/>
          <w:sz w:val="22"/>
          <w:szCs w:val="22"/>
          <w:color w:val="auto"/>
        </w:rPr>
        <w:t>617.283.2856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kgardner@lifesciadvisors.com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Eupraxia Pharmaceuticals Inc.</w:t>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168275</wp:posOffset>
            </wp:positionV>
            <wp:extent cx="3291840" cy="92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184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Voting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11.3 of National Instrument 51-102 – Continuous Disclosure Obligations, we advise of the results of the voting on the matters submitted to the annual general meeting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 Eupraxia Pharmaceuticals Inc.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on June 18,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voted on at the Meeting and the results of the voting were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Number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vote by ballot, the shareholders approved setting the number of directors at seven.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bottom w:val="single" w:sz="8" w:color="auto"/>
              <w:right w:val="single" w:sz="8" w:color="auto"/>
            </w:tcBorders>
            <w:shd w:val="clear" w:color="auto" w:fill="20405E"/>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Votes For</w:t>
            </w:r>
          </w:p>
        </w:tc>
        <w:tc>
          <w:tcPr>
            <w:tcW w:w="2800" w:type="dxa"/>
            <w:vAlign w:val="bottom"/>
            <w:tcBorders>
              <w:top w:val="single" w:sz="8" w:color="auto"/>
              <w:bottom w:val="single" w:sz="8" w:color="auto"/>
              <w:right w:val="single" w:sz="8" w:color="auto"/>
            </w:tcBorders>
            <w:shd w:val="clear" w:color="auto" w:fill="20405E"/>
          </w:tcPr>
          <w:p>
            <w:pPr>
              <w:ind w:left="1140"/>
              <w:spacing w:after="0"/>
              <w:rPr>
                <w:sz w:val="20"/>
                <w:szCs w:val="20"/>
                <w:color w:val="auto"/>
              </w:rPr>
            </w:pPr>
            <w:r>
              <w:rPr>
                <w:rFonts w:ascii="Times New Roman" w:cs="Times New Roman" w:eastAsia="Times New Roman" w:hAnsi="Times New Roman"/>
                <w:sz w:val="18"/>
                <w:szCs w:val="18"/>
                <w:b w:val="1"/>
                <w:bCs w:val="1"/>
                <w:color w:val="FFFFFF"/>
              </w:rPr>
              <w:t>% For</w:t>
            </w:r>
          </w:p>
        </w:tc>
        <w:tc>
          <w:tcPr>
            <w:tcW w:w="2820" w:type="dxa"/>
            <w:vAlign w:val="bottom"/>
            <w:tcBorders>
              <w:top w:val="single" w:sz="8" w:color="auto"/>
              <w:bottom w:val="single" w:sz="8" w:color="auto"/>
              <w:right w:val="single" w:sz="8" w:color="auto"/>
            </w:tcBorders>
            <w:shd w:val="clear" w:color="auto" w:fill="20405E"/>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Votes Against</w:t>
            </w:r>
          </w:p>
        </w:tc>
        <w:tc>
          <w:tcPr>
            <w:tcW w:w="2780" w:type="dxa"/>
            <w:vAlign w:val="bottom"/>
            <w:tcBorders>
              <w:top w:val="single" w:sz="8" w:color="auto"/>
              <w:bottom w:val="single" w:sz="8" w:color="auto"/>
              <w:right w:val="single" w:sz="8" w:color="auto"/>
            </w:tcBorders>
            <w:shd w:val="clear" w:color="auto" w:fill="20405E"/>
          </w:tcPr>
          <w:p>
            <w:pPr>
              <w:jc w:val="center"/>
              <w:spacing w:after="0"/>
              <w:rPr>
                <w:sz w:val="20"/>
                <w:szCs w:val="20"/>
                <w:color w:val="auto"/>
              </w:rPr>
            </w:pPr>
            <w:r>
              <w:rPr>
                <w:rFonts w:ascii="Times New Roman" w:cs="Times New Roman" w:eastAsia="Times New Roman" w:hAnsi="Times New Roman"/>
                <w:sz w:val="18"/>
                <w:szCs w:val="18"/>
                <w:b w:val="1"/>
                <w:bCs w:val="1"/>
                <w:color w:val="FFFFFF"/>
              </w:rPr>
              <w:t>% Against</w:t>
            </w:r>
          </w:p>
        </w:tc>
      </w:tr>
      <w:tr>
        <w:trPr>
          <w:trHeight w:val="210"/>
        </w:trPr>
        <w:tc>
          <w:tcPr>
            <w:tcW w:w="2840" w:type="dxa"/>
            <w:vAlign w:val="bottom"/>
            <w:tcBorders>
              <w:left w:val="single" w:sz="8" w:color="auto"/>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24,492,802</w:t>
            </w:r>
          </w:p>
        </w:tc>
        <w:tc>
          <w:tcPr>
            <w:tcW w:w="2800" w:type="dxa"/>
            <w:vAlign w:val="bottom"/>
            <w:tcBorders>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99.983</w:t>
            </w:r>
          </w:p>
        </w:tc>
        <w:tc>
          <w:tcPr>
            <w:tcW w:w="2820" w:type="dxa"/>
            <w:vAlign w:val="bottom"/>
            <w:tcBorders>
              <w:bottom w:val="single" w:sz="8" w:color="auto"/>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4,161</w:t>
            </w:r>
          </w:p>
        </w:tc>
        <w:tc>
          <w:tcPr>
            <w:tcW w:w="2780" w:type="dxa"/>
            <w:vAlign w:val="bottom"/>
            <w:tcBorders>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0.017</w:t>
            </w:r>
          </w:p>
        </w:tc>
      </w:tr>
      <w:tr>
        <w:trPr>
          <w:trHeight w:val="42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 Election of Directors</w:t>
            </w:r>
          </w:p>
        </w:tc>
        <w:tc>
          <w:tcPr>
            <w:tcW w:w="2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 vote by ballot, the following nominees were elected as directors to serve until the next annual meeting of shareholders of the Company or until his or her successor is duly elected or appointed.</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180" w:type="dxa"/>
            <w:vAlign w:val="bottom"/>
            <w:tcBorders>
              <w:top w:val="single" w:sz="8" w:color="auto"/>
              <w:left w:val="single" w:sz="8" w:color="auto"/>
              <w:bottom w:val="single" w:sz="8" w:color="auto"/>
              <w:right w:val="single" w:sz="8" w:color="auto"/>
            </w:tcBorders>
            <w:shd w:val="clear" w:color="auto" w:fill="20405E"/>
          </w:tcPr>
          <w:p>
            <w:pPr>
              <w:ind w:left="120"/>
              <w:spacing w:after="0"/>
              <w:rPr>
                <w:sz w:val="20"/>
                <w:szCs w:val="20"/>
                <w:color w:val="auto"/>
              </w:rPr>
            </w:pPr>
            <w:r>
              <w:rPr>
                <w:rFonts w:ascii="Times New Roman" w:cs="Times New Roman" w:eastAsia="Times New Roman" w:hAnsi="Times New Roman"/>
                <w:sz w:val="18"/>
                <w:szCs w:val="18"/>
                <w:b w:val="1"/>
                <w:bCs w:val="1"/>
                <w:color w:val="FFFFFF"/>
              </w:rPr>
              <w:t>Director Nominee</w:t>
            </w:r>
          </w:p>
        </w:tc>
        <w:tc>
          <w:tcPr>
            <w:tcW w:w="2020" w:type="dxa"/>
            <w:vAlign w:val="bottom"/>
            <w:tcBorders>
              <w:top w:val="single" w:sz="8" w:color="auto"/>
              <w:bottom w:val="single" w:sz="8" w:color="auto"/>
              <w:right w:val="single" w:sz="8" w:color="auto"/>
            </w:tcBorders>
            <w:shd w:val="clear" w:color="auto" w:fill="20405E"/>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Votes For</w:t>
            </w:r>
          </w:p>
        </w:tc>
        <w:tc>
          <w:tcPr>
            <w:tcW w:w="2020" w:type="dxa"/>
            <w:vAlign w:val="bottom"/>
            <w:tcBorders>
              <w:top w:val="single" w:sz="8" w:color="auto"/>
              <w:bottom w:val="single" w:sz="8" w:color="auto"/>
              <w:right w:val="single" w:sz="8" w:color="auto"/>
            </w:tcBorders>
            <w:shd w:val="clear" w:color="auto" w:fill="20405E"/>
          </w:tcPr>
          <w:p>
            <w:pPr>
              <w:ind w:left="740"/>
              <w:spacing w:after="0"/>
              <w:rPr>
                <w:sz w:val="20"/>
                <w:szCs w:val="20"/>
                <w:color w:val="auto"/>
              </w:rPr>
            </w:pPr>
            <w:r>
              <w:rPr>
                <w:rFonts w:ascii="Times New Roman" w:cs="Times New Roman" w:eastAsia="Times New Roman" w:hAnsi="Times New Roman"/>
                <w:sz w:val="18"/>
                <w:szCs w:val="18"/>
                <w:b w:val="1"/>
                <w:bCs w:val="1"/>
                <w:color w:val="FFFFFF"/>
              </w:rPr>
              <w:t>% For</w:t>
            </w:r>
          </w:p>
        </w:tc>
        <w:tc>
          <w:tcPr>
            <w:tcW w:w="2020" w:type="dxa"/>
            <w:vAlign w:val="bottom"/>
            <w:tcBorders>
              <w:top w:val="single" w:sz="8" w:color="auto"/>
              <w:bottom w:val="single" w:sz="8" w:color="auto"/>
              <w:right w:val="single" w:sz="8" w:color="auto"/>
            </w:tcBorders>
            <w:shd w:val="clear" w:color="auto" w:fill="20405E"/>
          </w:tcPr>
          <w:p>
            <w:pPr>
              <w:ind w:left="400"/>
              <w:spacing w:after="0"/>
              <w:rPr>
                <w:sz w:val="20"/>
                <w:szCs w:val="20"/>
                <w:color w:val="auto"/>
              </w:rPr>
            </w:pPr>
            <w:r>
              <w:rPr>
                <w:rFonts w:ascii="Times New Roman" w:cs="Times New Roman" w:eastAsia="Times New Roman" w:hAnsi="Times New Roman"/>
                <w:sz w:val="18"/>
                <w:szCs w:val="18"/>
                <w:b w:val="1"/>
                <w:bCs w:val="1"/>
                <w:color w:val="FFFFFF"/>
              </w:rPr>
              <w:t>Votes Withheld</w:t>
            </w:r>
          </w:p>
        </w:tc>
        <w:tc>
          <w:tcPr>
            <w:tcW w:w="2000" w:type="dxa"/>
            <w:vAlign w:val="bottom"/>
            <w:tcBorders>
              <w:top w:val="single" w:sz="8" w:color="auto"/>
              <w:bottom w:val="single" w:sz="8" w:color="auto"/>
              <w:right w:val="single" w:sz="8" w:color="auto"/>
            </w:tcBorders>
            <w:shd w:val="clear" w:color="auto" w:fill="20405E"/>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 Withheld</w:t>
            </w:r>
          </w:p>
        </w:tc>
      </w:tr>
      <w:tr>
        <w:trPr>
          <w:trHeight w:val="210"/>
        </w:trPr>
        <w:tc>
          <w:tcPr>
            <w:tcW w:w="3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James A. Helliwell</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19,815,199</w:t>
            </w:r>
          </w:p>
        </w:tc>
        <w:tc>
          <w:tcPr>
            <w:tcW w:w="202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99.784</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42,865</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0.216</w:t>
            </w:r>
          </w:p>
        </w:tc>
      </w:tr>
      <w:tr>
        <w:trPr>
          <w:trHeight w:val="209"/>
        </w:trPr>
        <w:tc>
          <w:tcPr>
            <w:tcW w:w="3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Simon Pimstone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18,091,080</w:t>
            </w:r>
          </w:p>
        </w:tc>
        <w:tc>
          <w:tcPr>
            <w:tcW w:w="202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91.102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1,766,984</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8.898</w:t>
            </w:r>
          </w:p>
        </w:tc>
      </w:tr>
      <w:tr>
        <w:trPr>
          <w:trHeight w:val="210"/>
        </w:trPr>
        <w:tc>
          <w:tcPr>
            <w:tcW w:w="3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M. Glickman</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19,443,941</w:t>
            </w:r>
          </w:p>
        </w:tc>
        <w:tc>
          <w:tcPr>
            <w:tcW w:w="202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97.915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414,123</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2.085</w:t>
            </w:r>
          </w:p>
        </w:tc>
      </w:tr>
      <w:tr>
        <w:trPr>
          <w:trHeight w:val="210"/>
        </w:trPr>
        <w:tc>
          <w:tcPr>
            <w:tcW w:w="3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Montalbano</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19,470,318</w:t>
            </w:r>
          </w:p>
        </w:tc>
        <w:tc>
          <w:tcPr>
            <w:tcW w:w="202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98.047</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387,746</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1.953</w:t>
            </w:r>
          </w:p>
        </w:tc>
      </w:tr>
      <w:tr>
        <w:trPr>
          <w:trHeight w:val="210"/>
        </w:trPr>
        <w:tc>
          <w:tcPr>
            <w:tcW w:w="3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Joseph Freedman</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19,828,021</w:t>
            </w:r>
          </w:p>
        </w:tc>
        <w:tc>
          <w:tcPr>
            <w:tcW w:w="202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99.849</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30,043</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0.151</w:t>
            </w:r>
          </w:p>
        </w:tc>
      </w:tr>
      <w:tr>
        <w:trPr>
          <w:trHeight w:val="209"/>
        </w:trPr>
        <w:tc>
          <w:tcPr>
            <w:tcW w:w="3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Amy Pott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19,828,243</w:t>
            </w:r>
          </w:p>
        </w:tc>
        <w:tc>
          <w:tcPr>
            <w:tcW w:w="202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99.850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29,821</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0.150</w:t>
            </w:r>
          </w:p>
        </w:tc>
      </w:tr>
      <w:tr>
        <w:trPr>
          <w:trHeight w:val="210"/>
        </w:trPr>
        <w:tc>
          <w:tcPr>
            <w:tcW w:w="3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Robert Bazemore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19,853,021</w:t>
            </w:r>
          </w:p>
        </w:tc>
        <w:tc>
          <w:tcPr>
            <w:tcW w:w="202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99.975</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5,043</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0.025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Appointment of Auditors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 vote by ballot, the shareholders re-appointed KPMG LLP as auditor of the Company for the ensuing year and authorized the directors to set the auditor’s pay.</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gridSpan w:val="2"/>
            <w:shd w:val="clear" w:color="auto" w:fill="20405E"/>
          </w:tcPr>
          <w:p>
            <w:pPr>
              <w:ind w:left="1040"/>
              <w:spacing w:after="0"/>
              <w:rPr>
                <w:sz w:val="20"/>
                <w:szCs w:val="20"/>
                <w:color w:val="auto"/>
              </w:rPr>
            </w:pPr>
            <w:r>
              <w:rPr>
                <w:rFonts w:ascii="Times New Roman" w:cs="Times New Roman" w:eastAsia="Times New Roman" w:hAnsi="Times New Roman"/>
                <w:sz w:val="18"/>
                <w:szCs w:val="18"/>
                <w:b w:val="1"/>
                <w:bCs w:val="1"/>
                <w:color w:val="FFFFFF"/>
              </w:rPr>
              <w:t>Votes For</w:t>
            </w:r>
          </w:p>
        </w:tc>
        <w:tc>
          <w:tcPr>
            <w:tcW w:w="2800" w:type="dxa"/>
            <w:vAlign w:val="bottom"/>
            <w:tcBorders>
              <w:top w:val="single" w:sz="8" w:color="auto"/>
              <w:bottom w:val="single" w:sz="8" w:color="auto"/>
              <w:right w:val="single" w:sz="8" w:color="auto"/>
            </w:tcBorders>
            <w:shd w:val="clear" w:color="auto" w:fill="20405E"/>
          </w:tcPr>
          <w:p>
            <w:pPr>
              <w:ind w:left="1140"/>
              <w:spacing w:after="0"/>
              <w:rPr>
                <w:sz w:val="20"/>
                <w:szCs w:val="20"/>
                <w:color w:val="auto"/>
              </w:rPr>
            </w:pPr>
            <w:r>
              <w:rPr>
                <w:rFonts w:ascii="Times New Roman" w:cs="Times New Roman" w:eastAsia="Times New Roman" w:hAnsi="Times New Roman"/>
                <w:sz w:val="18"/>
                <w:szCs w:val="18"/>
                <w:b w:val="1"/>
                <w:bCs w:val="1"/>
                <w:color w:val="FFFFFF"/>
              </w:rPr>
              <w:t>% For</w:t>
            </w:r>
          </w:p>
        </w:tc>
        <w:tc>
          <w:tcPr>
            <w:tcW w:w="2820" w:type="dxa"/>
            <w:vAlign w:val="bottom"/>
            <w:tcBorders>
              <w:top w:val="single" w:sz="8" w:color="auto"/>
              <w:bottom w:val="single" w:sz="8" w:color="auto"/>
              <w:right w:val="single" w:sz="8" w:color="auto"/>
            </w:tcBorders>
            <w:shd w:val="clear" w:color="auto" w:fill="20405E"/>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Votes Withheld</w:t>
            </w:r>
          </w:p>
        </w:tc>
        <w:tc>
          <w:tcPr>
            <w:tcW w:w="2780" w:type="dxa"/>
            <w:vAlign w:val="bottom"/>
            <w:tcBorders>
              <w:top w:val="single" w:sz="8" w:color="auto"/>
              <w:bottom w:val="single" w:sz="8" w:color="auto"/>
              <w:right w:val="single" w:sz="8" w:color="auto"/>
            </w:tcBorders>
            <w:shd w:val="clear" w:color="auto" w:fill="20405E"/>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 Withheld</w:t>
            </w:r>
          </w:p>
        </w:tc>
      </w:tr>
      <w:tr>
        <w:trPr>
          <w:trHeight w:val="209"/>
        </w:trPr>
        <w:tc>
          <w:tcPr>
            <w:tcW w:w="2200" w:type="dxa"/>
            <w:vAlign w:val="bottom"/>
            <w:tcBorders>
              <w:left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24,409,660</w:t>
            </w:r>
          </w:p>
        </w:tc>
        <w:tc>
          <w:tcPr>
            <w:tcW w:w="64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99.644</w:t>
            </w:r>
          </w:p>
        </w:tc>
        <w:tc>
          <w:tcPr>
            <w:tcW w:w="2820" w:type="dxa"/>
            <w:vAlign w:val="bottom"/>
            <w:tcBorders>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87,302</w:t>
            </w:r>
          </w:p>
        </w:tc>
        <w:tc>
          <w:tcPr>
            <w:tcW w:w="2780" w:type="dxa"/>
            <w:vAlign w:val="bottom"/>
            <w:tcBorders>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0.356</w:t>
            </w:r>
          </w:p>
        </w:tc>
      </w:tr>
      <w:tr>
        <w:trPr>
          <w:trHeight w:val="403"/>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Yours truly,</w:t>
            </w:r>
          </w:p>
        </w:tc>
        <w:tc>
          <w:tcPr>
            <w:tcW w:w="2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8"/>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Eupraxia Pharmaceuticals Inc.</w:t>
            </w:r>
          </w:p>
        </w:tc>
        <w:tc>
          <w:tcPr>
            <w:tcW w:w="2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91"/>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“James A. Helliwell”</w:t>
            </w:r>
            <w:r>
              <w:rPr>
                <w:rFonts w:ascii="Times New Roman" w:cs="Times New Roman" w:eastAsia="Times New Roman" w:hAnsi="Times New Roman"/>
                <w:sz w:val="18"/>
                <w:szCs w:val="18"/>
                <w:color w:val="auto"/>
              </w:rPr>
              <w:t>___</w:t>
            </w:r>
          </w:p>
        </w:tc>
        <w:tc>
          <w:tcPr>
            <w:tcW w:w="2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7"/>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2026-06-22T10:04:03Z</dcterms:created>
  <dcterms:modified xsi:type="dcterms:W3CDTF">2026-06-22T10:04:03Z</dcterms:modified>
</cp:coreProperties>
</file>