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1526.htm"/>
      <w:bookmarkStart w:id="1" w:name="ksf6k_0715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001-41923</w:t>
      </w:r>
    </w:p>
    <w:p>
      <w:pPr>
        <w:pStyle w:val="TextBody"/>
        <w:bidi w:val="0"/>
        <w:jc w:val="center"/>
        <w:rPr/>
      </w:pPr>
      <w:r>
        <w:rPr>
          <w:rStyle w:val="StrongEmphasis"/>
          <w:sz w:val="24"/>
        </w:rPr>
        <w:t>EUPRAXIA PHARMACEUTICALS INC.</w:t>
      </w:r>
      <w:r>
        <w:rPr/>
        <w:br/>
        <w:t>(Exact name of Registrant as specified in its charter)</w:t>
      </w:r>
    </w:p>
    <w:p>
      <w:pPr>
        <w:pStyle w:val="TextBody"/>
        <w:bidi w:val="0"/>
        <w:jc w:val="center"/>
        <w:rPr/>
      </w:pPr>
      <w:r>
        <w:rPr>
          <w:rStyle w:val="StrongEmphasis"/>
        </w:rPr>
        <w:t>N/A</w:t>
        <w:br/>
      </w:r>
      <w:r>
        <w:rPr/>
        <w:t>(Translation of Registrant’s name)</w:t>
      </w:r>
    </w:p>
    <w:p>
      <w:pPr>
        <w:pStyle w:val="TextBody"/>
        <w:bidi w:val="0"/>
        <w:jc w:val="center"/>
        <w:rPr/>
      </w:pPr>
      <w:r>
        <w:rPr>
          <w:rStyle w:val="StrongEmphasis"/>
        </w:rPr>
        <w:t>2198 Yukon Street</w:t>
        <w:br/>
        <w:t>Vancouver, British Columbia, Canada V5Y 3P1</w:t>
        <w:br/>
        <w:t>Telephone: (250) 590-3968 </w:t>
      </w:r>
      <w:r>
        <w:rPr/>
        <w:br/>
        <w:t>(Address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DOCUMENTS INCLUDED AS PART OF THIS REPORT</w:t>
      </w:r>
    </w:p>
    <w:tbl>
      <w:tblPr>
        <w:tblW w:w="2980" w:type="dxa"/>
        <w:jc w:val="left"/>
        <w:tblInd w:w="0" w:type="dxa"/>
        <w:tblLayout w:type="fixed"/>
        <w:tblCellMar>
          <w:top w:w="0" w:type="dxa"/>
          <w:left w:w="0" w:type="dxa"/>
          <w:bottom w:w="0" w:type="dxa"/>
          <w:right w:w="0" w:type="dxa"/>
        </w:tblCellMar>
      </w:tblPr>
      <w:tblGrid>
        <w:gridCol w:w="650"/>
        <w:gridCol w:w="300"/>
        <w:gridCol w:w="2030"/>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2030" w:type="dxa"/>
            <w:tcBorders/>
            <w:vAlign w:val="bottom"/>
          </w:tcPr>
          <w:p>
            <w:pPr>
              <w:pStyle w:val="TableContents"/>
              <w:bidi w:val="0"/>
              <w:spacing w:before="0" w:after="283"/>
              <w:jc w:val="left"/>
              <w:rPr/>
            </w:pPr>
            <w:r>
              <w:rPr>
                <w:rStyle w:val="StrongEmphasis"/>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hyperlink w:anchor="exh_991.htm">
              <w:r>
                <w:rPr>
                  <w:rStyle w:val="InternetLink"/>
                  <w:sz w:val="20"/>
                </w:rPr>
                <w:t>Material Change Report</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5409" w:type="dxa"/>
            <w:gridSpan w:val="2"/>
            <w:tcBorders/>
          </w:tcPr>
          <w:p>
            <w:pPr>
              <w:pStyle w:val="TableContents"/>
              <w:bidi w:val="0"/>
              <w:spacing w:before="0" w:after="283"/>
              <w:jc w:val="left"/>
              <w:rPr/>
            </w:pPr>
            <w:r>
              <w:rPr/>
              <w:t> </w:t>
            </w:r>
            <w:r>
              <w:rPr>
                <w:rStyle w:val="StrongEmphasis"/>
              </w:rPr>
              <w:t>EUPRAXIA PHARMACEUTICALS INC.</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15, 2026</w:t>
            </w:r>
          </w:p>
        </w:tc>
        <w:tc>
          <w:tcPr>
            <w:tcW w:w="612" w:type="dxa"/>
            <w:tcBorders/>
          </w:tcPr>
          <w:p>
            <w:pPr>
              <w:pStyle w:val="TableContents"/>
              <w:bidi w:val="0"/>
              <w:spacing w:before="0" w:after="283"/>
              <w:jc w:val="left"/>
              <w:rPr/>
            </w:pPr>
            <w:r>
              <w:rPr/>
              <w:t> </w:t>
            </w:r>
            <w:r>
              <w:rPr/>
              <w:t>By: </w:t>
            </w:r>
          </w:p>
        </w:tc>
        <w:tc>
          <w:tcPr>
            <w:tcW w:w="4797" w:type="dxa"/>
            <w:tcBorders/>
          </w:tcPr>
          <w:p>
            <w:pPr>
              <w:pStyle w:val="TableContents"/>
              <w:bidi w:val="0"/>
              <w:spacing w:before="0" w:after="283"/>
              <w:jc w:val="left"/>
              <w:rPr>
                <w:u w:val="single"/>
              </w:rPr>
            </w:pPr>
            <w:r>
              <w:rPr>
                <w:u w:val="single"/>
              </w:rPr>
              <w:t>/s/ Alex Rothwell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Name: Alex Rothwell</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Title: 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15" w:right="15" w:hanging="0"/>
        <w:jc w:val="right"/>
        <w:rPr>
          <w:b/>
          <w:sz w:val="20"/>
        </w:rPr>
      </w:pPr>
      <w:bookmarkStart w:id="2" w:name="exh_991.htm"/>
      <w:bookmarkStart w:id="3" w:name="ksexh_991"/>
      <w:bookmarkEnd w:id="2"/>
      <w:bookmarkEnd w:id="3"/>
      <w:r>
        <w:rPr>
          <w:b/>
          <w:sz w:val="20"/>
        </w:rPr>
        <w:t>Exhibit 99.1</w:t>
      </w:r>
      <w:r>
        <w:br w:type="page"/>
      </w:r>
    </w:p>
    <w:p>
      <w:pPr>
        <w:pStyle w:val="TextBody"/>
        <w:bidi w:val="0"/>
        <w:spacing w:before="0" w:after="0"/>
        <w:ind w:left="15" w:right="15" w:hanging="0"/>
        <w:jc w:val="center"/>
        <w:rPr/>
      </w:pPr>
      <w:r>
        <w:rPr/>
        <w:t> </w:t>
      </w:r>
    </w:p>
    <w:p>
      <w:pPr>
        <w:pStyle w:val="TextBody"/>
        <w:bidi w:val="0"/>
        <w:spacing w:before="0" w:after="0"/>
        <w:ind w:left="15" w:right="15" w:hanging="0"/>
        <w:jc w:val="center"/>
        <w:rPr>
          <w:b/>
          <w:sz w:val="20"/>
        </w:rPr>
      </w:pPr>
      <w:r>
        <w:rPr>
          <w:b/>
          <w:sz w:val="20"/>
        </w:rPr>
        <w:t>FORM 51-102F3</w:t>
      </w:r>
    </w:p>
    <w:p>
      <w:pPr>
        <w:pStyle w:val="TextBody"/>
        <w:bidi w:val="0"/>
        <w:spacing w:before="0" w:after="0"/>
        <w:ind w:left="15" w:right="15" w:hanging="0"/>
        <w:jc w:val="center"/>
        <w:rPr>
          <w:b/>
          <w:i/>
          <w:sz w:val="20"/>
        </w:rPr>
      </w:pPr>
      <w:r>
        <w:rPr>
          <w:b/>
          <w:i/>
          <w:sz w:val="20"/>
        </w:rPr>
        <w:t>MATERIAL CHANGE REPORT</w:t>
      </w:r>
    </w:p>
    <w:p>
      <w:pPr>
        <w:pStyle w:val="TextBody"/>
        <w:bidi w:val="0"/>
        <w:spacing w:before="0" w:after="0"/>
        <w:ind w:left="15" w:right="15" w:hanging="0"/>
        <w:jc w:val="center"/>
        <w:rPr/>
      </w:pPr>
      <w:r>
        <w:rPr/>
        <w:t> </w:t>
      </w:r>
    </w:p>
    <w:tbl>
      <w:tblPr>
        <w:tblW w:w="5000" w:type="pct"/>
        <w:jc w:val="left"/>
        <w:tblInd w:w="0" w:type="dxa"/>
        <w:tblLayout w:type="fixed"/>
        <w:tblCellMar>
          <w:top w:w="0" w:type="dxa"/>
          <w:left w:w="0" w:type="dxa"/>
          <w:bottom w:w="0" w:type="dxa"/>
          <w:right w:w="0" w:type="dxa"/>
        </w:tblCellMar>
      </w:tblPr>
      <w:tblGrid>
        <w:gridCol w:w="101"/>
        <w:gridCol w:w="1820"/>
        <w:gridCol w:w="8284"/>
      </w:tblGrid>
      <w:tr>
        <w:trPr/>
        <w:tc>
          <w:tcPr>
            <w:tcW w:w="101"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pPr>
            <w:r>
              <w:rPr/>
              <w:t>Item 1:</w:t>
            </w:r>
          </w:p>
        </w:tc>
        <w:tc>
          <w:tcPr>
            <w:tcW w:w="8284" w:type="dxa"/>
            <w:tcBorders/>
            <w:vAlign w:val="center"/>
          </w:tcPr>
          <w:p>
            <w:pPr>
              <w:pStyle w:val="TableContents"/>
              <w:bidi w:val="0"/>
              <w:spacing w:before="0" w:after="283"/>
              <w:jc w:val="left"/>
              <w:rPr/>
            </w:pPr>
            <w:r>
              <w:rPr/>
              <w:t>Name and Address of Company</w:t>
            </w:r>
          </w:p>
        </w:tc>
      </w:tr>
    </w:tbl>
    <w:p>
      <w:pPr>
        <w:pStyle w:val="TextBody"/>
        <w:bidi w:val="0"/>
        <w:spacing w:before="0" w:after="0"/>
        <w:jc w:val="left"/>
        <w:rPr/>
      </w:pPr>
      <w:r>
        <w:rPr/>
        <w:t> </w:t>
      </w:r>
    </w:p>
    <w:p>
      <w:pPr>
        <w:pStyle w:val="TextBody"/>
        <w:bidi w:val="0"/>
        <w:spacing w:before="0" w:after="0"/>
        <w:ind w:left="1518" w:right="3714" w:firstLine="21"/>
        <w:jc w:val="left"/>
        <w:rPr>
          <w:sz w:val="20"/>
        </w:rPr>
      </w:pPr>
      <w:r>
        <w:rPr>
          <w:sz w:val="20"/>
        </w:rPr>
        <w:t>Eupraxia Pharmaceuticals Inc. (the “</w:t>
      </w:r>
      <w:r>
        <w:rPr>
          <w:b/>
          <w:sz w:val="20"/>
        </w:rPr>
        <w:t>Company</w:t>
      </w:r>
      <w:r>
        <w:rPr>
          <w:sz w:val="20"/>
        </w:rPr>
        <w:t>”)</w:t>
      </w:r>
    </w:p>
    <w:p>
      <w:pPr>
        <w:pStyle w:val="TextBody"/>
        <w:bidi w:val="0"/>
        <w:spacing w:before="0" w:after="0"/>
        <w:ind w:left="1518" w:right="5042" w:hanging="0"/>
        <w:jc w:val="left"/>
        <w:rPr>
          <w:sz w:val="20"/>
        </w:rPr>
      </w:pPr>
      <w:r>
        <w:rPr>
          <w:sz w:val="20"/>
        </w:rPr>
        <w:t>2198 Yukon Street,</w:t>
      </w:r>
    </w:p>
    <w:p>
      <w:pPr>
        <w:pStyle w:val="TextBody"/>
        <w:bidi w:val="0"/>
        <w:spacing w:before="0" w:after="0"/>
        <w:ind w:left="1518" w:right="5042" w:hanging="0"/>
        <w:jc w:val="left"/>
        <w:rPr>
          <w:sz w:val="20"/>
        </w:rPr>
      </w:pPr>
      <w:r>
        <w:rPr>
          <w:sz w:val="20"/>
        </w:rPr>
        <w:t>Vancouver, British Columbia,</w:t>
      </w:r>
    </w:p>
    <w:p>
      <w:pPr>
        <w:pStyle w:val="TextBody"/>
        <w:bidi w:val="0"/>
        <w:spacing w:before="0" w:after="0"/>
        <w:ind w:left="1518" w:right="5042" w:hanging="0"/>
        <w:jc w:val="left"/>
        <w:rPr>
          <w:sz w:val="20"/>
        </w:rPr>
      </w:pPr>
      <w:r>
        <w:rPr>
          <w:sz w:val="20"/>
        </w:rPr>
        <w:t>Canada, V5Y 3P1</w:t>
      </w:r>
    </w:p>
    <w:p>
      <w:pPr>
        <w:pStyle w:val="TextBody"/>
        <w:bidi w:val="0"/>
        <w:spacing w:before="0" w:after="0"/>
        <w:ind w:left="1518" w:right="5042" w:hanging="0"/>
        <w:jc w:val="left"/>
        <w:rPr/>
      </w:pPr>
      <w:r>
        <w:rPr/>
        <w:t> </w:t>
      </w:r>
    </w:p>
    <w:tbl>
      <w:tblPr>
        <w:tblW w:w="5000" w:type="pct"/>
        <w:jc w:val="left"/>
        <w:tblInd w:w="0" w:type="dxa"/>
        <w:tblLayout w:type="fixed"/>
        <w:tblCellMar>
          <w:top w:w="0" w:type="dxa"/>
          <w:left w:w="0" w:type="dxa"/>
          <w:bottom w:w="0" w:type="dxa"/>
          <w:right w:w="0" w:type="dxa"/>
        </w:tblCellMar>
      </w:tblPr>
      <w:tblGrid>
        <w:gridCol w:w="125"/>
        <w:gridCol w:w="2243"/>
        <w:gridCol w:w="7837"/>
      </w:tblGrid>
      <w:tr>
        <w:trPr/>
        <w:tc>
          <w:tcPr>
            <w:tcW w:w="12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pPr>
            <w:r>
              <w:rPr/>
              <w:t>Item 2:</w:t>
            </w:r>
          </w:p>
        </w:tc>
        <w:tc>
          <w:tcPr>
            <w:tcW w:w="7837" w:type="dxa"/>
            <w:tcBorders/>
            <w:vAlign w:val="center"/>
          </w:tcPr>
          <w:p>
            <w:pPr>
              <w:pStyle w:val="TableContents"/>
              <w:bidi w:val="0"/>
              <w:spacing w:before="0" w:after="283"/>
              <w:jc w:val="left"/>
              <w:rPr/>
            </w:pPr>
            <w:r>
              <w:rPr/>
              <w:t>Date of Material Change</w:t>
            </w:r>
          </w:p>
        </w:tc>
      </w:tr>
    </w:tbl>
    <w:p>
      <w:pPr>
        <w:pStyle w:val="TextBody"/>
        <w:bidi w:val="0"/>
        <w:spacing w:before="0" w:after="0"/>
        <w:jc w:val="left"/>
        <w:rPr/>
      </w:pPr>
      <w:r>
        <w:rPr/>
        <w:t> </w:t>
      </w:r>
    </w:p>
    <w:p>
      <w:pPr>
        <w:pStyle w:val="TextBody"/>
        <w:bidi w:val="0"/>
        <w:spacing w:before="0" w:after="0"/>
        <w:ind w:left="1540" w:right="0" w:hanging="0"/>
        <w:jc w:val="both"/>
        <w:rPr>
          <w:sz w:val="20"/>
        </w:rPr>
      </w:pPr>
      <w:r>
        <w:rPr>
          <w:sz w:val="20"/>
        </w:rPr>
        <w:t>July 13, 2026</w:t>
      </w:r>
    </w:p>
    <w:p>
      <w:pPr>
        <w:pStyle w:val="TextBody"/>
        <w:bidi w:val="0"/>
        <w:spacing w:before="0" w:after="0"/>
        <w:ind w:left="154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84"/>
        <w:gridCol w:w="3300"/>
        <w:gridCol w:w="6721"/>
      </w:tblGrid>
      <w:tr>
        <w:trPr/>
        <w:tc>
          <w:tcPr>
            <w:tcW w:w="184" w:type="dxa"/>
            <w:tcBorders/>
            <w:vAlign w:val="center"/>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pPr>
            <w:r>
              <w:rPr/>
              <w:t>Item 3:</w:t>
            </w:r>
          </w:p>
        </w:tc>
        <w:tc>
          <w:tcPr>
            <w:tcW w:w="6721" w:type="dxa"/>
            <w:tcBorders/>
            <w:vAlign w:val="center"/>
          </w:tcPr>
          <w:p>
            <w:pPr>
              <w:pStyle w:val="TableContents"/>
              <w:bidi w:val="0"/>
              <w:spacing w:before="0" w:after="283"/>
              <w:jc w:val="left"/>
              <w:rPr/>
            </w:pPr>
            <w:r>
              <w:rPr/>
              <w:t>News Release</w:t>
            </w:r>
          </w:p>
        </w:tc>
      </w:tr>
    </w:tbl>
    <w:p>
      <w:pPr>
        <w:pStyle w:val="TextBody"/>
        <w:bidi w:val="0"/>
        <w:spacing w:before="0" w:after="0"/>
        <w:jc w:val="left"/>
        <w:rPr/>
      </w:pPr>
      <w:r>
        <w:rPr/>
        <w:t> </w:t>
      </w:r>
    </w:p>
    <w:p>
      <w:pPr>
        <w:pStyle w:val="TextBody"/>
        <w:bidi w:val="0"/>
        <w:spacing w:before="0" w:after="0"/>
        <w:ind w:left="1540" w:right="145" w:hanging="0"/>
        <w:jc w:val="both"/>
        <w:rPr>
          <w:sz w:val="20"/>
        </w:rPr>
      </w:pPr>
      <w:r>
        <w:rPr>
          <w:sz w:val="20"/>
        </w:rPr>
        <w:t>A news release announcing the material change was issued on July 13, 2026 through Globe Newswire and a copy was subsequently filed on SEDAR+.</w:t>
      </w:r>
    </w:p>
    <w:p>
      <w:pPr>
        <w:pStyle w:val="TextBody"/>
        <w:bidi w:val="0"/>
        <w:spacing w:before="0" w:after="0"/>
        <w:ind w:left="1540" w:right="145" w:hanging="0"/>
        <w:jc w:val="both"/>
        <w:rPr/>
      </w:pPr>
      <w:r>
        <w:rPr/>
        <w:t> </w:t>
      </w:r>
    </w:p>
    <w:tbl>
      <w:tblPr>
        <w:tblW w:w="5000" w:type="pct"/>
        <w:jc w:val="left"/>
        <w:tblInd w:w="0" w:type="dxa"/>
        <w:tblLayout w:type="fixed"/>
        <w:tblCellMar>
          <w:top w:w="0" w:type="dxa"/>
          <w:left w:w="0" w:type="dxa"/>
          <w:bottom w:w="0" w:type="dxa"/>
          <w:right w:w="0" w:type="dxa"/>
        </w:tblCellMar>
      </w:tblPr>
      <w:tblGrid>
        <w:gridCol w:w="108"/>
        <w:gridCol w:w="1951"/>
        <w:gridCol w:w="8146"/>
      </w:tblGrid>
      <w:tr>
        <w:trPr/>
        <w:tc>
          <w:tcPr>
            <w:tcW w:w="108"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pPr>
            <w:r>
              <w:rPr/>
              <w:t>Item 4:</w:t>
            </w:r>
          </w:p>
        </w:tc>
        <w:tc>
          <w:tcPr>
            <w:tcW w:w="8146" w:type="dxa"/>
            <w:tcBorders/>
            <w:vAlign w:val="center"/>
          </w:tcPr>
          <w:p>
            <w:pPr>
              <w:pStyle w:val="TableContents"/>
              <w:bidi w:val="0"/>
              <w:spacing w:before="0" w:after="283"/>
              <w:jc w:val="left"/>
              <w:rPr/>
            </w:pPr>
            <w:r>
              <w:rPr/>
              <w:t>Summary of Material Change</w:t>
            </w:r>
          </w:p>
        </w:tc>
      </w:tr>
    </w:tbl>
    <w:p>
      <w:pPr>
        <w:pStyle w:val="TextBody"/>
        <w:bidi w:val="0"/>
        <w:spacing w:before="0" w:after="0"/>
        <w:jc w:val="left"/>
        <w:rPr/>
      </w:pPr>
      <w:r>
        <w:rPr/>
        <w:t> </w:t>
      </w:r>
    </w:p>
    <w:p>
      <w:pPr>
        <w:pStyle w:val="TextBody"/>
        <w:bidi w:val="0"/>
        <w:spacing w:before="0" w:after="0"/>
        <w:ind w:left="1540" w:right="113" w:hanging="0"/>
        <w:jc w:val="both"/>
        <w:rPr>
          <w:sz w:val="20"/>
        </w:rPr>
      </w:pPr>
      <w:r>
        <w:rPr>
          <w:sz w:val="20"/>
        </w:rPr>
        <w:t>On July 13, 2026, the Company announced updates to its executive leadership and operating structure as the Company continues to prepare for its next stage of clinical and commercial development.</w:t>
      </w:r>
    </w:p>
    <w:p>
      <w:pPr>
        <w:pStyle w:val="TextBody"/>
        <w:bidi w:val="0"/>
        <w:spacing w:before="0" w:after="0"/>
        <w:ind w:left="1540" w:right="113" w:hanging="0"/>
        <w:jc w:val="both"/>
        <w:rPr/>
      </w:pPr>
      <w:r>
        <w:rPr/>
        <w:t> </w:t>
      </w:r>
    </w:p>
    <w:tbl>
      <w:tblPr>
        <w:tblW w:w="5000" w:type="pct"/>
        <w:jc w:val="left"/>
        <w:tblInd w:w="0" w:type="dxa"/>
        <w:tblLayout w:type="fixed"/>
        <w:tblCellMar>
          <w:top w:w="0" w:type="dxa"/>
          <w:left w:w="0" w:type="dxa"/>
          <w:bottom w:w="0" w:type="dxa"/>
          <w:right w:w="0" w:type="dxa"/>
        </w:tblCellMar>
      </w:tblPr>
      <w:tblGrid>
        <w:gridCol w:w="89"/>
        <w:gridCol w:w="2016"/>
        <w:gridCol w:w="8100"/>
      </w:tblGrid>
      <w:tr>
        <w:trPr/>
        <w:tc>
          <w:tcPr>
            <w:tcW w:w="8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pPr>
            <w:r>
              <w:rPr/>
              <w:t>Item 5.1:</w:t>
            </w:r>
          </w:p>
        </w:tc>
        <w:tc>
          <w:tcPr>
            <w:tcW w:w="8100" w:type="dxa"/>
            <w:tcBorders/>
            <w:vAlign w:val="center"/>
          </w:tcPr>
          <w:p>
            <w:pPr>
              <w:pStyle w:val="TableContents"/>
              <w:bidi w:val="0"/>
              <w:spacing w:before="0" w:after="283"/>
              <w:jc w:val="left"/>
              <w:rPr/>
            </w:pPr>
            <w:r>
              <w:rPr/>
              <w:t>Full Description of Material Change</w:t>
            </w:r>
          </w:p>
        </w:tc>
      </w:tr>
    </w:tbl>
    <w:p>
      <w:pPr>
        <w:pStyle w:val="TextBody"/>
        <w:bidi w:val="0"/>
        <w:spacing w:before="0" w:after="0"/>
        <w:ind w:left="1540" w:right="113" w:hanging="0"/>
        <w:jc w:val="both"/>
        <w:rPr/>
      </w:pPr>
      <w:r>
        <w:rPr/>
        <w:t> </w:t>
      </w:r>
    </w:p>
    <w:p>
      <w:pPr>
        <w:pStyle w:val="TextBody"/>
        <w:bidi w:val="0"/>
        <w:spacing w:before="0" w:after="0"/>
        <w:ind w:left="1540" w:right="113" w:hanging="0"/>
        <w:jc w:val="both"/>
        <w:rPr>
          <w:sz w:val="20"/>
        </w:rPr>
      </w:pPr>
      <w:r>
        <w:rPr>
          <w:sz w:val="20"/>
        </w:rPr>
        <w:t>On July 13, 2026, the Company announced updates to its executive leadership and operating structure as the Company continues to prepare for its next stage of clinical and commercial development.</w:t>
      </w:r>
    </w:p>
    <w:p>
      <w:pPr>
        <w:pStyle w:val="TextBody"/>
        <w:bidi w:val="0"/>
        <w:spacing w:before="0" w:after="0"/>
        <w:ind w:left="1540" w:right="113" w:hanging="0"/>
        <w:jc w:val="both"/>
        <w:rPr/>
      </w:pPr>
      <w:r>
        <w:rPr/>
        <w:t> </w:t>
      </w:r>
    </w:p>
    <w:p>
      <w:pPr>
        <w:pStyle w:val="TextBody"/>
        <w:bidi w:val="0"/>
        <w:spacing w:before="0" w:after="0"/>
        <w:ind w:left="1540" w:right="113" w:hanging="0"/>
        <w:jc w:val="both"/>
        <w:rPr>
          <w:sz w:val="20"/>
        </w:rPr>
      </w:pPr>
      <w:r>
        <w:rPr>
          <w:sz w:val="20"/>
        </w:rPr>
        <w:t>Dr. Jeff Millard has joined Eupraxia as Executive Vice President, Technical Operations, effective July 13, 2026.</w:t>
      </w:r>
    </w:p>
    <w:p>
      <w:pPr>
        <w:pStyle w:val="TextBody"/>
        <w:bidi w:val="0"/>
        <w:spacing w:before="0" w:after="0"/>
        <w:ind w:left="1540" w:right="113" w:hanging="0"/>
        <w:jc w:val="both"/>
        <w:rPr/>
      </w:pPr>
      <w:r>
        <w:rPr/>
        <w:t> </w:t>
      </w:r>
    </w:p>
    <w:p>
      <w:pPr>
        <w:pStyle w:val="TextBody"/>
        <w:bidi w:val="0"/>
        <w:spacing w:before="0" w:after="0"/>
        <w:ind w:left="1540" w:right="113" w:hanging="0"/>
        <w:jc w:val="both"/>
        <w:rPr>
          <w:sz w:val="20"/>
        </w:rPr>
      </w:pPr>
      <w:r>
        <w:rPr>
          <w:sz w:val="20"/>
        </w:rPr>
        <w:t>As part of these changes, Dr. Alex Therien, who joined Eupraxia in November 2025, will take the helm of Research &amp; Development in his role as Executive Vice President, Research &amp; Development.</w:t>
      </w:r>
    </w:p>
    <w:p>
      <w:pPr>
        <w:pStyle w:val="TextBody"/>
        <w:bidi w:val="0"/>
        <w:spacing w:before="0" w:after="0"/>
        <w:ind w:left="1540" w:right="113" w:hanging="0"/>
        <w:jc w:val="both"/>
        <w:rPr/>
      </w:pPr>
      <w:r>
        <w:rPr/>
        <w:t> </w:t>
      </w:r>
    </w:p>
    <w:p>
      <w:pPr>
        <w:pStyle w:val="TextBody"/>
        <w:bidi w:val="0"/>
        <w:spacing w:before="0" w:after="0"/>
        <w:ind w:left="1540" w:right="113" w:hanging="0"/>
        <w:jc w:val="both"/>
        <w:rPr>
          <w:sz w:val="20"/>
        </w:rPr>
      </w:pPr>
      <w:r>
        <w:rPr>
          <w:sz w:val="20"/>
        </w:rPr>
        <w:t>As Eupraxia evolves into a cross-border two-hub organization, Eupraxia has completed the transition of its operations from Victoria to Vancouver and Seattle, reflecting the Company’s focus on supporting its growing clinical operations. Key clinical, manufacturing and commercial executive leadership positions, including the CEO, will be based in the Seattle offices.</w:t>
      </w:r>
    </w:p>
    <w:p>
      <w:pPr>
        <w:pStyle w:val="TextBody"/>
        <w:bidi w:val="0"/>
        <w:spacing w:before="0" w:after="0"/>
        <w:ind w:left="1540" w:right="113" w:hanging="0"/>
        <w:jc w:val="both"/>
        <w:rPr/>
      </w:pPr>
      <w:r>
        <w:rPr/>
        <w:t> </w:t>
      </w:r>
    </w:p>
    <w:p>
      <w:pPr>
        <w:pStyle w:val="TextBody"/>
        <w:bidi w:val="0"/>
        <w:spacing w:before="0" w:after="0"/>
        <w:ind w:left="1540" w:right="113" w:hanging="0"/>
        <w:jc w:val="both"/>
        <w:rPr>
          <w:sz w:val="20"/>
        </w:rPr>
      </w:pPr>
      <w:r>
        <w:rPr>
          <w:sz w:val="20"/>
        </w:rPr>
        <w:t>As part of this transition, Amanda Malone, based in Victoria, has stepped down from her role as Chief Scientific and Operating Officer, effective July 10, 2026. Eupraxia is grateful for her years of expertise in research and early-stage development.</w:t>
      </w:r>
    </w:p>
    <w:p>
      <w:pPr>
        <w:pStyle w:val="TextBody"/>
        <w:bidi w:val="0"/>
        <w:spacing w:before="0" w:after="0"/>
        <w:ind w:left="1540" w:right="113" w:hanging="0"/>
        <w:jc w:val="both"/>
        <w:rPr/>
      </w:pPr>
      <w:r>
        <w:rPr/>
        <w:t> </w:t>
      </w:r>
    </w:p>
    <w:tbl>
      <w:tblPr>
        <w:tblW w:w="5000" w:type="pct"/>
        <w:jc w:val="left"/>
        <w:tblInd w:w="0" w:type="dxa"/>
        <w:tblLayout w:type="fixed"/>
        <w:tblCellMar>
          <w:top w:w="0" w:type="dxa"/>
          <w:left w:w="0" w:type="dxa"/>
          <w:bottom w:w="0" w:type="dxa"/>
          <w:right w:w="0" w:type="dxa"/>
        </w:tblCellMar>
      </w:tblPr>
      <w:tblGrid>
        <w:gridCol w:w="80"/>
        <w:gridCol w:w="1833"/>
        <w:gridCol w:w="8292"/>
      </w:tblGrid>
      <w:tr>
        <w:trPr/>
        <w:tc>
          <w:tcPr>
            <w:tcW w:w="80"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pPr>
            <w:r>
              <w:rPr/>
              <w:t>Item 5.2:</w:t>
            </w:r>
          </w:p>
        </w:tc>
        <w:tc>
          <w:tcPr>
            <w:tcW w:w="8292" w:type="dxa"/>
            <w:tcBorders/>
            <w:vAlign w:val="center"/>
          </w:tcPr>
          <w:p>
            <w:pPr>
              <w:pStyle w:val="TableContents"/>
              <w:bidi w:val="0"/>
              <w:spacing w:before="0" w:after="283"/>
              <w:jc w:val="left"/>
              <w:rPr/>
            </w:pPr>
            <w:r>
              <w:rPr/>
              <w:t>Disclosure of Restructuring Transactions</w:t>
            </w:r>
          </w:p>
        </w:tc>
      </w:tr>
    </w:tbl>
    <w:p>
      <w:pPr>
        <w:pStyle w:val="TextBody"/>
        <w:bidi w:val="0"/>
        <w:spacing w:before="0" w:after="0"/>
        <w:ind w:left="1540" w:right="0" w:hanging="0"/>
        <w:jc w:val="both"/>
        <w:rPr/>
      </w:pPr>
      <w:r>
        <w:rPr/>
        <w:t> </w:t>
      </w:r>
    </w:p>
    <w:p>
      <w:pPr>
        <w:pStyle w:val="TextBody"/>
        <w:bidi w:val="0"/>
        <w:spacing w:before="0" w:after="0"/>
        <w:ind w:left="1540" w:right="0" w:hanging="0"/>
        <w:jc w:val="both"/>
        <w:rPr>
          <w:sz w:val="20"/>
        </w:rPr>
      </w:pPr>
      <w:r>
        <w:rPr>
          <w:sz w:val="20"/>
        </w:rPr>
        <w:t>Not applicable.</w:t>
      </w:r>
    </w:p>
    <w:p>
      <w:pPr>
        <w:pStyle w:val="TextBody"/>
        <w:bidi w:val="0"/>
        <w:spacing w:before="0" w:after="0"/>
        <w:ind w:left="154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9"/>
        <w:gridCol w:w="1071"/>
        <w:gridCol w:w="9075"/>
      </w:tblGrid>
      <w:tr>
        <w:trPr/>
        <w:tc>
          <w:tcPr>
            <w:tcW w:w="5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Reliance on subsection 7.1(2) of National Instrument 51-102</w:t>
            </w:r>
          </w:p>
        </w:tc>
      </w:tr>
    </w:tbl>
    <w:p>
      <w:pPr>
        <w:pStyle w:val="TextBody"/>
        <w:bidi w:val="0"/>
        <w:spacing w:before="0" w:after="0"/>
        <w:jc w:val="left"/>
        <w:rPr/>
      </w:pPr>
      <w:r>
        <w:rPr/>
        <w:t> </w:t>
      </w:r>
    </w:p>
    <w:p>
      <w:pPr>
        <w:pStyle w:val="TextBody"/>
        <w:bidi w:val="0"/>
        <w:spacing w:before="0" w:after="0"/>
        <w:ind w:left="1540" w:right="0" w:hanging="0"/>
        <w:jc w:val="both"/>
        <w:rPr>
          <w:sz w:val="20"/>
        </w:rPr>
      </w:pPr>
      <w:r>
        <w:rPr>
          <w:sz w:val="20"/>
        </w:rPr>
        <w:t>Not applicable.</w:t>
      </w:r>
    </w:p>
    <w:p>
      <w:pPr>
        <w:pStyle w:val="TextBody"/>
        <w:bidi w:val="0"/>
        <w:spacing w:before="0" w:after="0"/>
        <w:ind w:left="154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4"/>
        <w:gridCol w:w="2581"/>
        <w:gridCol w:w="7480"/>
      </w:tblGrid>
      <w:tr>
        <w:trPr/>
        <w:tc>
          <w:tcPr>
            <w:tcW w:w="144"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pPr>
            <w:r>
              <w:rPr/>
              <w:t>Item 7:</w:t>
            </w:r>
          </w:p>
        </w:tc>
        <w:tc>
          <w:tcPr>
            <w:tcW w:w="7480" w:type="dxa"/>
            <w:tcBorders/>
            <w:vAlign w:val="center"/>
          </w:tcPr>
          <w:p>
            <w:pPr>
              <w:pStyle w:val="TableContents"/>
              <w:bidi w:val="0"/>
              <w:spacing w:before="0" w:after="283"/>
              <w:jc w:val="left"/>
              <w:rPr/>
            </w:pPr>
            <w:r>
              <w:rPr/>
              <w:t>Omitted Information</w:t>
            </w:r>
          </w:p>
        </w:tc>
      </w:tr>
    </w:tbl>
    <w:p>
      <w:pPr>
        <w:pStyle w:val="TextBody"/>
        <w:bidi w:val="0"/>
        <w:spacing w:before="0" w:after="0"/>
        <w:jc w:val="left"/>
        <w:rPr/>
      </w:pPr>
      <w:r>
        <w:rPr/>
        <w:t> </w:t>
      </w:r>
    </w:p>
    <w:p>
      <w:pPr>
        <w:pStyle w:val="TextBody"/>
        <w:bidi w:val="0"/>
        <w:spacing w:before="0" w:after="0"/>
        <w:ind w:left="1540" w:right="0" w:hanging="0"/>
        <w:jc w:val="both"/>
        <w:rPr>
          <w:sz w:val="20"/>
        </w:rPr>
      </w:pPr>
      <w:r>
        <w:rPr>
          <w:sz w:val="20"/>
        </w:rPr>
        <w:t>Not applicable.</w:t>
      </w:r>
    </w:p>
    <w:p>
      <w:pPr>
        <w:pStyle w:val="TextBody"/>
        <w:bidi w:val="0"/>
        <w:spacing w:before="0" w:after="0"/>
        <w:ind w:left="154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9"/>
        <w:gridCol w:w="2852"/>
        <w:gridCol w:w="7194"/>
      </w:tblGrid>
      <w:tr>
        <w:trPr/>
        <w:tc>
          <w:tcPr>
            <w:tcW w:w="15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pPr>
            <w:r>
              <w:rPr/>
              <w:t>Item 8:</w:t>
            </w:r>
          </w:p>
        </w:tc>
        <w:tc>
          <w:tcPr>
            <w:tcW w:w="7194" w:type="dxa"/>
            <w:tcBorders/>
            <w:vAlign w:val="center"/>
          </w:tcPr>
          <w:p>
            <w:pPr>
              <w:pStyle w:val="TableContents"/>
              <w:bidi w:val="0"/>
              <w:spacing w:before="0" w:after="283"/>
              <w:jc w:val="left"/>
              <w:rPr/>
            </w:pPr>
            <w:r>
              <w:rPr/>
              <w:t>Executive Officer</w:t>
            </w:r>
          </w:p>
        </w:tc>
      </w:tr>
    </w:tbl>
    <w:p>
      <w:pPr>
        <w:pStyle w:val="TextBody"/>
        <w:bidi w:val="0"/>
        <w:spacing w:before="0" w:after="0"/>
        <w:jc w:val="left"/>
        <w:rPr/>
      </w:pPr>
      <w:r>
        <w:rPr/>
        <w:t> </w:t>
      </w:r>
    </w:p>
    <w:p>
      <w:pPr>
        <w:pStyle w:val="TextBody"/>
        <w:bidi w:val="0"/>
        <w:spacing w:before="0" w:after="0"/>
        <w:ind w:left="1540" w:right="0" w:hanging="0"/>
        <w:jc w:val="both"/>
        <w:rPr>
          <w:sz w:val="20"/>
        </w:rPr>
      </w:pPr>
      <w:r>
        <w:rPr>
          <w:sz w:val="20"/>
        </w:rPr>
        <w:t>For further information, please contact James A. Helliwell, Chief Executive Officer of the Company at 250-590-3968.</w:t>
      </w:r>
    </w:p>
    <w:p>
      <w:pPr>
        <w:pStyle w:val="TextBody"/>
        <w:bidi w:val="0"/>
        <w:spacing w:before="0" w:after="0"/>
        <w:ind w:left="154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79"/>
        <w:gridCol w:w="3208"/>
        <w:gridCol w:w="6818"/>
      </w:tblGrid>
      <w:tr>
        <w:trPr/>
        <w:tc>
          <w:tcPr>
            <w:tcW w:w="179"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pPr>
            <w:r>
              <w:rPr/>
              <w:t>Item 9:</w:t>
            </w:r>
          </w:p>
        </w:tc>
        <w:tc>
          <w:tcPr>
            <w:tcW w:w="6818" w:type="dxa"/>
            <w:tcBorders/>
            <w:vAlign w:val="center"/>
          </w:tcPr>
          <w:p>
            <w:pPr>
              <w:pStyle w:val="TableContents"/>
              <w:bidi w:val="0"/>
              <w:spacing w:before="0" w:after="283"/>
              <w:jc w:val="left"/>
              <w:rPr/>
            </w:pPr>
            <w:r>
              <w:rPr/>
              <w:t>Date of Report</w:t>
            </w:r>
          </w:p>
        </w:tc>
      </w:tr>
    </w:tbl>
    <w:p>
      <w:pPr>
        <w:pStyle w:val="TextBody"/>
        <w:bidi w:val="0"/>
        <w:spacing w:before="0" w:after="0"/>
        <w:jc w:val="left"/>
        <w:rPr/>
      </w:pPr>
      <w:r>
        <w:rPr/>
        <w:t> </w:t>
      </w:r>
    </w:p>
    <w:p>
      <w:pPr>
        <w:pStyle w:val="TextBody"/>
        <w:bidi w:val="0"/>
        <w:spacing w:before="0" w:after="0"/>
        <w:ind w:left="1540" w:right="0" w:hanging="0"/>
        <w:jc w:val="both"/>
        <w:rPr>
          <w:sz w:val="20"/>
        </w:rPr>
      </w:pPr>
      <w:r>
        <w:rPr>
          <w:sz w:val="20"/>
        </w:rPr>
        <w:t>July 15, 2026</w:t>
      </w:r>
    </w:p>
    <w:p>
      <w:pPr>
        <w:pStyle w:val="TextBody"/>
        <w:bidi w:val="0"/>
        <w:spacing w:before="0" w:after="0"/>
        <w:ind w:left="1540" w:right="0" w:hanging="0"/>
        <w:jc w:val="both"/>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497</Words>
  <Characters>2760</Characters>
  <CharactersWithSpaces>3278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