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3809d6k.htm"/>
      <w:bookmarkStart w:id="1" w:name="ksd133809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001-41923</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EUPRAXIA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2198 Yukon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Vancouver, British Columbia, Canada V5Y 3P1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(250) 590-3968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Exhibits 99.1 and 99.2 of this Form 6-K are incorporated by reference into the registrant’s Registration Statement on Form F-10 (File No. 333-276586) and the registrant’s Registration Statement on Form S-8 (File No. 333-278534).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DOCUMENTS INCLUDED AS PART OF THIS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7"/>
        <w:gridCol w:w="427"/>
        <w:gridCol w:w="8981"/>
      </w:tblGrid>
      <w:tr>
        <w:trPr/>
        <w:tc>
          <w:tcPr>
            <w:tcW w:w="797"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797" w:type="dxa"/>
            <w:tcBorders/>
            <w:vAlign w:val="bottom"/>
          </w:tcPr>
          <w:p>
            <w:pPr>
              <w:pStyle w:val="TableContents"/>
              <w:bidi w:val="0"/>
              <w:spacing w:before="0" w:after="283"/>
              <w:jc w:val="center"/>
              <w:rPr>
                <w:b/>
              </w:rPr>
            </w:pPr>
            <w:r>
              <w:rPr>
                <w:b/>
              </w:rPr>
              <w:t>Exhibit</w:t>
            </w:r>
          </w:p>
        </w:tc>
        <w:tc>
          <w:tcPr>
            <w:tcW w:w="427"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 </w:t>
            </w:r>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99.1</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33809dex991.htm">
              <w:r>
                <w:rPr>
                  <w:rStyle w:val="InternetLink"/>
                </w:rPr>
                <w:t xml:space="preserve">Consolidated Financial Statements for the three and nine months ended March 31, 2026. </w:t>
              </w:r>
            </w:hyperlink>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99.2</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33809dex992.htm">
              <w:r>
                <w:rPr>
                  <w:rStyle w:val="InternetLink"/>
                </w:rPr>
                <w:t xml:space="preserve">Management’s Discussion and Analysis of Financial Condition and Results of Operations for the three months ended March 31, 2026. </w:t>
              </w:r>
            </w:hyperlink>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99.3</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33809dex993.htm">
              <w:r>
                <w:rPr>
                  <w:rStyle w:val="InternetLink"/>
                </w:rPr>
                <w:t xml:space="preserve">Press Release, dated May 12, 2026. </w:t>
              </w:r>
            </w:hyperlink>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99.4</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33809dex994.htm">
              <w:r>
                <w:rPr>
                  <w:rStyle w:val="InternetLink"/>
                </w:rPr>
                <w:t xml:space="preserve">Form 52-109F2 Certification of Interim Filings by CEO. </w:t>
              </w:r>
            </w:hyperlink>
          </w:p>
        </w:tc>
      </w:tr>
      <w:tr>
        <w:trPr>
          <w:trHeight w:val="120" w:hRule="atLeast"/>
        </w:trPr>
        <w:tc>
          <w:tcPr>
            <w:tcW w:w="797" w:type="dxa"/>
            <w:tcBorders/>
            <w:vAlign w:val="center"/>
          </w:tcPr>
          <w:p>
            <w:pPr>
              <w:pStyle w:val="TableContents"/>
              <w:bidi w:val="0"/>
              <w:spacing w:before="0" w:after="283"/>
              <w:jc w:val="left"/>
              <w:rPr>
                <w:sz w:val="4"/>
                <w:szCs w:val="4"/>
              </w:rPr>
            </w:pPr>
            <w:r>
              <w:rPr>
                <w:sz w:val="4"/>
                <w:szCs w:val="4"/>
              </w:rPr>
            </w:r>
          </w:p>
        </w:tc>
        <w:tc>
          <w:tcPr>
            <w:tcW w:w="9408" w:type="dxa"/>
            <w:gridSpan w:val="2"/>
            <w:tcBorders/>
            <w:vAlign w:val="center"/>
          </w:tcPr>
          <w:p>
            <w:pPr>
              <w:pStyle w:val="TableContents"/>
              <w:bidi w:val="0"/>
              <w:spacing w:before="0" w:after="283"/>
              <w:jc w:val="left"/>
              <w:rPr>
                <w:sz w:val="4"/>
                <w:szCs w:val="4"/>
              </w:rPr>
            </w:pPr>
            <w:r>
              <w:rPr>
                <w:sz w:val="4"/>
                <w:szCs w:val="4"/>
              </w:rPr>
            </w:r>
          </w:p>
        </w:tc>
      </w:tr>
      <w:tr>
        <w:trPr/>
        <w:tc>
          <w:tcPr>
            <w:tcW w:w="797" w:type="dxa"/>
            <w:tcBorders/>
          </w:tcPr>
          <w:p>
            <w:pPr>
              <w:pStyle w:val="TableContents"/>
              <w:bidi w:val="0"/>
              <w:spacing w:before="0" w:after="283"/>
              <w:jc w:val="left"/>
              <w:rPr/>
            </w:pPr>
            <w:r>
              <w:rPr/>
              <w:t>99.5</w:t>
            </w:r>
          </w:p>
        </w:tc>
        <w:tc>
          <w:tcPr>
            <w:tcW w:w="427"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33809dex995.htm">
              <w:r>
                <w:rPr>
                  <w:rStyle w:val="InternetLink"/>
                </w:rPr>
                <w:t xml:space="preserve">Form 52-109F2 Certification of Interim Filings by CFO.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1"/>
        <w:gridCol w:w="109"/>
        <w:gridCol w:w="391"/>
        <w:gridCol w:w="109"/>
        <w:gridCol w:w="371"/>
        <w:gridCol w:w="109"/>
        <w:gridCol w:w="4645"/>
      </w:tblGrid>
      <w:tr>
        <w:trPr/>
        <w:tc>
          <w:tcPr>
            <w:tcW w:w="447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45" w:type="dxa"/>
            <w:tcBorders/>
            <w:vAlign w:val="center"/>
          </w:tcPr>
          <w:p>
            <w:pPr>
              <w:pStyle w:val="TableContents"/>
              <w:bidi w:val="0"/>
              <w:spacing w:before="0" w:after="283"/>
              <w:jc w:val="left"/>
              <w:rPr>
                <w:sz w:val="4"/>
                <w:szCs w:val="4"/>
              </w:rPr>
            </w:pPr>
            <w:r>
              <w:rPr>
                <w:sz w:val="4"/>
                <w:szCs w:val="4"/>
              </w:rPr>
            </w:r>
          </w:p>
        </w:tc>
      </w:tr>
      <w:tr>
        <w:trPr/>
        <w:tc>
          <w:tcPr>
            <w:tcW w:w="44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25" w:type="dxa"/>
            <w:gridSpan w:val="3"/>
            <w:tcBorders/>
          </w:tcPr>
          <w:p>
            <w:pPr>
              <w:pStyle w:val="TableContents"/>
              <w:bidi w:val="0"/>
              <w:spacing w:before="0" w:after="283"/>
              <w:jc w:val="left"/>
              <w:rPr>
                <w:b/>
              </w:rPr>
            </w:pPr>
            <w:r>
              <w:rPr>
                <w:b/>
              </w:rPr>
              <w:t>Eupraxia Pharmaceuticals Inc.</w:t>
            </w:r>
          </w:p>
        </w:tc>
      </w:tr>
      <w:tr>
        <w:trPr>
          <w:trHeight w:val="240" w:hRule="atLeast"/>
        </w:trPr>
        <w:tc>
          <w:tcPr>
            <w:tcW w:w="4471"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480" w:type="dxa"/>
            <w:gridSpan w:val="2"/>
            <w:tcBorders/>
            <w:vAlign w:val="center"/>
          </w:tcPr>
          <w:p>
            <w:pPr>
              <w:pStyle w:val="TableContents"/>
              <w:bidi w:val="0"/>
              <w:spacing w:before="0" w:after="283"/>
              <w:jc w:val="left"/>
              <w:rPr>
                <w:sz w:val="4"/>
                <w:szCs w:val="4"/>
              </w:rPr>
            </w:pPr>
            <w:r>
              <w:rPr>
                <w:sz w:val="4"/>
                <w:szCs w:val="4"/>
              </w:rPr>
            </w:r>
          </w:p>
        </w:tc>
        <w:tc>
          <w:tcPr>
            <w:tcW w:w="4754" w:type="dxa"/>
            <w:gridSpan w:val="2"/>
            <w:tcBorders/>
            <w:vAlign w:val="center"/>
          </w:tcPr>
          <w:p>
            <w:pPr>
              <w:pStyle w:val="TableContents"/>
              <w:bidi w:val="0"/>
              <w:spacing w:before="0" w:after="283"/>
              <w:jc w:val="left"/>
              <w:rPr>
                <w:sz w:val="4"/>
                <w:szCs w:val="4"/>
              </w:rPr>
            </w:pPr>
            <w:r>
              <w:rPr>
                <w:sz w:val="4"/>
                <w:szCs w:val="4"/>
              </w:rPr>
            </w:r>
          </w:p>
        </w:tc>
      </w:tr>
      <w:tr>
        <w:trPr/>
        <w:tc>
          <w:tcPr>
            <w:tcW w:w="4471" w:type="dxa"/>
            <w:tcBorders/>
          </w:tcPr>
          <w:p>
            <w:pPr>
              <w:pStyle w:val="TableContents"/>
              <w:bidi w:val="0"/>
              <w:spacing w:before="0" w:after="283"/>
              <w:jc w:val="left"/>
              <w:rPr/>
            </w:pPr>
            <w:r>
              <w:rPr/>
              <w:t>Date: May 12, 2026</w:t>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6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Rothwell</w:t>
            </w:r>
          </w:p>
        </w:tc>
      </w:tr>
      <w:tr>
        <w:trPr/>
        <w:tc>
          <w:tcPr>
            <w:tcW w:w="44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45" w:type="dxa"/>
            <w:tcBorders/>
          </w:tcPr>
          <w:p>
            <w:pPr>
              <w:pStyle w:val="TableContents"/>
              <w:bidi w:val="0"/>
              <w:spacing w:before="0" w:after="283"/>
              <w:jc w:val="left"/>
              <w:rPr/>
            </w:pPr>
            <w:r>
              <w:rPr/>
              <w:t>Name: Alex Rothwell</w:t>
            </w:r>
          </w:p>
        </w:tc>
      </w:tr>
      <w:tr>
        <w:trPr/>
        <w:tc>
          <w:tcPr>
            <w:tcW w:w="44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45" w:type="dxa"/>
            <w:tcBorders/>
          </w:tcPr>
          <w:p>
            <w:pPr>
              <w:pStyle w:val="TableContents"/>
              <w:bidi w:val="0"/>
              <w:spacing w:before="0" w:after="283"/>
              <w:jc w:val="left"/>
              <w:rPr/>
            </w:pPr>
            <w:r>
              <w:rPr/>
              <w:t>Title: Chief Financial Officer</w:t>
            </w:r>
          </w:p>
        </w:tc>
      </w:tr>
    </w:tbl>
    <w:p>
      <w:pPr>
        <w:pStyle w:val="TextBody"/>
        <w:bidi w:val="0"/>
        <w:spacing w:before="0" w:after="0"/>
        <w:jc w:val="right"/>
        <w:rPr>
          <w:rFonts w:ascii="Times New Roman" w:hAnsi="Times New Roman"/>
          <w:b/>
          <w:sz w:val="20"/>
        </w:rPr>
      </w:pPr>
      <w:bookmarkStart w:id="2" w:name="d133809dex991.htm"/>
      <w:bookmarkStart w:id="3" w:name="ksd133809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EUPRAXIA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THREE MONTHS ENDED MARCH 31, 2026 </w:t>
      </w:r>
    </w:p>
    <w:p>
      <w:pPr>
        <w:pStyle w:val="TextBody"/>
        <w:bidi w:val="0"/>
        <w:spacing w:before="240" w:after="0"/>
        <w:jc w:val="center"/>
        <w:rPr>
          <w:rFonts w:ascii="Times New Roman" w:hAnsi="Times New Roman"/>
          <w:sz w:val="20"/>
        </w:rPr>
      </w:pPr>
      <w:r>
        <w:rPr>
          <w:rFonts w:ascii="Times New Roman" w:hAnsi="Times New Roman"/>
          <w:sz w:val="20"/>
        </w:rPr>
        <w:t xml:space="preserve">(Unaudited and Expressed in U.S. Dollars)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INDEX TO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1"/>
        <w:gridCol w:w="162"/>
        <w:gridCol w:w="60"/>
        <w:gridCol w:w="459"/>
        <w:gridCol w:w="63"/>
      </w:tblGrid>
      <w:tr>
        <w:trPr/>
        <w:tc>
          <w:tcPr>
            <w:tcW w:w="946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BALANCE SHEETS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OPERATIONS AND COMPREHENSIVE LOSS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CHANGES IN SHAREHOLDERS’ EQUITY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CASH FLOWS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461" w:type="dxa"/>
            <w:tcBorders/>
            <w:vAlign w:val="center"/>
          </w:tcPr>
          <w:p>
            <w:pPr>
              <w:pStyle w:val="TableContents"/>
              <w:bidi w:val="0"/>
              <w:spacing w:before="0" w:after="283"/>
              <w:jc w:val="left"/>
              <w:rPr>
                <w:sz w:val="4"/>
                <w:szCs w:val="4"/>
              </w:rPr>
            </w:pPr>
            <w:r>
              <w:rPr>
                <w:sz w:val="4"/>
                <w:szCs w:val="4"/>
              </w:rPr>
            </w:r>
          </w:p>
        </w:tc>
        <w:tc>
          <w:tcPr>
            <w:tcW w:w="744" w:type="dxa"/>
            <w:gridSpan w:val="4"/>
            <w:tcBorders/>
            <w:vAlign w:val="center"/>
          </w:tcPr>
          <w:p>
            <w:pPr>
              <w:pStyle w:val="TableContents"/>
              <w:bidi w:val="0"/>
              <w:spacing w:before="0" w:after="283"/>
              <w:jc w:val="left"/>
              <w:rPr>
                <w:sz w:val="4"/>
                <w:szCs w:val="4"/>
              </w:rPr>
            </w:pPr>
            <w:r>
              <w:rPr>
                <w:sz w:val="4"/>
                <w:szCs w:val="4"/>
              </w:rPr>
            </w:r>
          </w:p>
        </w:tc>
      </w:tr>
      <w:tr>
        <w:trPr/>
        <w:tc>
          <w:tcPr>
            <w:tcW w:w="9461" w:type="dxa"/>
            <w:tcBorders/>
          </w:tcPr>
          <w:p>
            <w:pPr>
              <w:pStyle w:val="TableContents"/>
              <w:bidi w:val="0"/>
              <w:spacing w:before="0" w:after="0"/>
              <w:jc w:val="left"/>
              <w:rPr>
                <w:rFonts w:ascii="Times New Roman" w:hAnsi="Times New Roman"/>
                <w:sz w:val="20"/>
              </w:rPr>
            </w:pPr>
            <w:r>
              <w:rPr>
                <w:rFonts w:ascii="Times New Roman" w:hAnsi="Times New Roman"/>
                <w:sz w:val="20"/>
              </w:rPr>
              <w:t>NOTES TO THE CONSOLIDATED FINANCIAL STATEMENTS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8-28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CONSOLIDATED BALANCE SHEETS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4"/>
        <w:gridCol w:w="218"/>
        <w:gridCol w:w="140"/>
        <w:gridCol w:w="1299"/>
        <w:gridCol w:w="155"/>
        <w:gridCol w:w="181"/>
        <w:gridCol w:w="140"/>
        <w:gridCol w:w="1299"/>
        <w:gridCol w:w="159"/>
      </w:tblGrid>
      <w:tr>
        <w:trPr/>
        <w:tc>
          <w:tcPr>
            <w:tcW w:w="661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1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58,500,024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80,563,482</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Amounts receivable (Note 4)</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663,235</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674,226</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 (Note 5)</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80,378,789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deposits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2,583,022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3,860,842</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142,125,070</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85,098,550</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61,754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64,332</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(Note 6)</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1,161,560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834,429</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 net (Note 7)</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2,004,958</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152,697</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145,353,342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86,150,008</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 (DEFICIT)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 (Note 8)</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7,158,879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5,549,553</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 – current portion (Note 9)</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203,510</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78,452</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7,362,389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5,628,005</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 (Note 9)</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1,803,292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75,910</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9,165,681</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5,703,915</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without par value; unlimited shares authorized; issued and outstanding: 8,355,638 (December 31, 2025: 8,355,638 (Notes 11(c))</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29,738,321</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29,738,321</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without par value; unlimited shares authorized; issued and outstanding: 61,808,630 (December 31, 2025 – 51,939,206 (Note 11(b))</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255,497,022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195,406,895</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 (Notes 11(b), 11(d) and 11(e))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39,266,042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28,520,331</w:t>
            </w:r>
          </w:p>
        </w:tc>
        <w:tc>
          <w:tcPr>
            <w:tcW w:w="159" w:type="dxa"/>
            <w:tcBorders/>
            <w:vAlign w:val="bottom"/>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Deficit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(182,233,405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(169,579,974</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(4,483,561</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(2,044,137</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attributable to the owners of the Company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137,784,419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82,041,436</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Non-controlling interest</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(1,596,758</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(1,595,343</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136,187,661</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80,446,093</w:t>
            </w:r>
          </w:p>
        </w:tc>
        <w:tc>
          <w:tcPr>
            <w:tcW w:w="159" w:type="dxa"/>
            <w:tcBorders/>
            <w:shd w:fill="CCEEFF" w:val="clear"/>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145,353,342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86,150,008</w:t>
            </w:r>
          </w:p>
        </w:tc>
        <w:tc>
          <w:tcPr>
            <w:tcW w:w="159" w:type="dxa"/>
            <w:tcBorders/>
            <w:vAlign w:val="bottom"/>
          </w:tcPr>
          <w:p>
            <w:pPr>
              <w:pStyle w:val="TableContents"/>
              <w:bidi w:val="0"/>
              <w:spacing w:before="0" w:after="283"/>
              <w:jc w:val="left"/>
              <w:rPr/>
            </w:pPr>
            <w:r>
              <w:rPr/>
              <w:t> </w:t>
            </w:r>
          </w:p>
        </w:tc>
      </w:tr>
      <w:tr>
        <w:trPr/>
        <w:tc>
          <w:tcPr>
            <w:tcW w:w="661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Nature of business and going concern (Note 1) </w:t>
      </w:r>
    </w:p>
    <w:p>
      <w:pPr>
        <w:pStyle w:val="TextBody"/>
        <w:bidi w:val="0"/>
        <w:spacing w:before="0" w:after="0"/>
        <w:jc w:val="left"/>
        <w:rPr>
          <w:rFonts w:ascii="Times New Roman" w:hAnsi="Times New Roman"/>
          <w:sz w:val="20"/>
        </w:rPr>
      </w:pPr>
      <w:r>
        <w:rPr>
          <w:rFonts w:ascii="Times New Roman" w:hAnsi="Times New Roman"/>
          <w:sz w:val="20"/>
        </w:rPr>
        <w:t xml:space="preserve">Commitments and Contingencies (Note 14) </w:t>
      </w:r>
    </w:p>
    <w:p>
      <w:pPr>
        <w:pStyle w:val="TextBody"/>
        <w:bidi w:val="0"/>
        <w:spacing w:before="0" w:after="0"/>
        <w:jc w:val="left"/>
        <w:rPr>
          <w:rFonts w:ascii="Times New Roman" w:hAnsi="Times New Roman"/>
          <w:sz w:val="20"/>
        </w:rPr>
      </w:pPr>
      <w:r>
        <w:rPr>
          <w:rFonts w:ascii="Times New Roman" w:hAnsi="Times New Roman"/>
          <w:sz w:val="20"/>
        </w:rPr>
        <w:t xml:space="preserve">Subsequent event (Note 18) </w:t>
      </w:r>
    </w:p>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OPERATIONS AND COMPREHENSIVE LOSS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3"/>
        <w:gridCol w:w="343"/>
        <w:gridCol w:w="185"/>
        <w:gridCol w:w="1568"/>
        <w:gridCol w:w="155"/>
        <w:gridCol w:w="297"/>
        <w:gridCol w:w="197"/>
        <w:gridCol w:w="1559"/>
        <w:gridCol w:w="158"/>
      </w:tblGrid>
      <w:tr>
        <w:trPr/>
        <w:tc>
          <w:tcPr>
            <w:tcW w:w="5743"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7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br/>
              <w:t>2026</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br/>
              <w:t>2025</w:t>
            </w:r>
          </w:p>
        </w:tc>
        <w:tc>
          <w:tcPr>
            <w:tcW w:w="158"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5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55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(Note 12)</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568" w:type="dxa"/>
            <w:tcBorders/>
            <w:vAlign w:val="bottom"/>
          </w:tcPr>
          <w:p>
            <w:pPr>
              <w:pStyle w:val="TableContents"/>
              <w:bidi w:val="0"/>
              <w:spacing w:before="0" w:after="283"/>
              <w:jc w:val="right"/>
              <w:rPr/>
            </w:pPr>
            <w:r>
              <w:rPr/>
              <w:t>4,783,089</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559" w:type="dxa"/>
            <w:tcBorders/>
            <w:vAlign w:val="bottom"/>
          </w:tcPr>
          <w:p>
            <w:pPr>
              <w:pStyle w:val="TableContents"/>
              <w:bidi w:val="0"/>
              <w:spacing w:before="0" w:after="283"/>
              <w:jc w:val="right"/>
              <w:rPr/>
            </w:pPr>
            <w:r>
              <w:rPr/>
              <w:t>3,274,394</w:t>
            </w:r>
          </w:p>
        </w:tc>
        <w:tc>
          <w:tcPr>
            <w:tcW w:w="158"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(Note 13)</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11,173,956</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3,849,826</w:t>
            </w:r>
          </w:p>
        </w:tc>
        <w:tc>
          <w:tcPr>
            <w:tcW w:w="158"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expenses</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15,957,045</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7,124,220</w:t>
            </w:r>
          </w:p>
        </w:tc>
        <w:tc>
          <w:tcPr>
            <w:tcW w:w="158"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income/(expenses)</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5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55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1,074,072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309,452</w:t>
            </w:r>
          </w:p>
        </w:tc>
        <w:tc>
          <w:tcPr>
            <w:tcW w:w="158"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sale of equipment (Note 6)</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(1,075</w:t>
            </w:r>
          </w:p>
        </w:tc>
        <w:tc>
          <w:tcPr>
            <w:tcW w:w="158" w:type="dxa"/>
            <w:tcBorders/>
            <w:shd w:fill="CCEEFF" w:val="clear"/>
            <w:vAlign w:val="bottom"/>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2,242,032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51,362</w:t>
            </w:r>
          </w:p>
        </w:tc>
        <w:tc>
          <w:tcPr>
            <w:tcW w:w="158" w:type="dxa"/>
            <w:tcBorders/>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3,316,104</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359,739</w:t>
            </w:r>
          </w:p>
        </w:tc>
        <w:tc>
          <w:tcPr>
            <w:tcW w:w="158"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 expense</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(12,640,941</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(6,764,481</w:t>
            </w:r>
          </w:p>
        </w:tc>
        <w:tc>
          <w:tcPr>
            <w:tcW w:w="158"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expense</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(13,905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(2,794</w:t>
            </w:r>
          </w:p>
        </w:tc>
        <w:tc>
          <w:tcPr>
            <w:tcW w:w="158"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for the period</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568"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559" w:type="dxa"/>
            <w:tcBorders/>
            <w:vAlign w:val="bottom"/>
          </w:tcPr>
          <w:p>
            <w:pPr>
              <w:pStyle w:val="TableContents"/>
              <w:bidi w:val="0"/>
              <w:spacing w:before="0" w:after="283"/>
              <w:jc w:val="right"/>
              <w:rPr/>
            </w:pPr>
            <w:r>
              <w:rPr/>
              <w:t>(6,767,275</w:t>
            </w:r>
          </w:p>
        </w:tc>
        <w:tc>
          <w:tcPr>
            <w:tcW w:w="158" w:type="dxa"/>
            <w:tcBorders/>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5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55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attributable to:</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5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55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43" w:type="dxa"/>
            <w:tcBorders/>
          </w:tcPr>
          <w:p>
            <w:pPr>
              <w:pStyle w:val="TableContents"/>
              <w:bidi w:val="0"/>
              <w:spacing w:before="0" w:after="0"/>
              <w:jc w:val="left"/>
              <w:rPr>
                <w:rFonts w:ascii="Times New Roman" w:hAnsi="Times New Roman"/>
                <w:sz w:val="20"/>
              </w:rPr>
            </w:pPr>
            <w:r>
              <w:rPr>
                <w:rFonts w:ascii="Times New Roman" w:hAnsi="Times New Roman"/>
                <w:sz w:val="20"/>
              </w:rPr>
              <w:t>Owners of the Company</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568" w:type="dxa"/>
            <w:tcBorders/>
            <w:vAlign w:val="bottom"/>
          </w:tcPr>
          <w:p>
            <w:pPr>
              <w:pStyle w:val="TableContents"/>
              <w:bidi w:val="0"/>
              <w:spacing w:before="0" w:after="283"/>
              <w:jc w:val="right"/>
              <w:rPr/>
            </w:pPr>
            <w:r>
              <w:rPr/>
              <w:t>(12,653,431</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559" w:type="dxa"/>
            <w:tcBorders/>
            <w:vAlign w:val="bottom"/>
          </w:tcPr>
          <w:p>
            <w:pPr>
              <w:pStyle w:val="TableContents"/>
              <w:bidi w:val="0"/>
              <w:spacing w:before="0" w:after="283"/>
              <w:jc w:val="right"/>
              <w:rPr/>
            </w:pPr>
            <w:r>
              <w:rPr/>
              <w:t>(6,762,608</w:t>
            </w:r>
          </w:p>
        </w:tc>
        <w:tc>
          <w:tcPr>
            <w:tcW w:w="158"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(1,415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(4,667</w:t>
            </w:r>
          </w:p>
        </w:tc>
        <w:tc>
          <w:tcPr>
            <w:tcW w:w="158"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(6,767,275</w:t>
            </w:r>
          </w:p>
        </w:tc>
        <w:tc>
          <w:tcPr>
            <w:tcW w:w="158" w:type="dxa"/>
            <w:tcBorders/>
            <w:vAlign w:val="bottom"/>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8" w:type="dxa"/>
            <w:tcBorders/>
            <w:shd w:fill="CCEEFF" w:val="clear"/>
            <w:vAlign w:val="bottom"/>
          </w:tcPr>
          <w:p>
            <w:pPr>
              <w:pStyle w:val="TableContents"/>
              <w:bidi w:val="0"/>
              <w:spacing w:before="0" w:after="283"/>
              <w:jc w:val="right"/>
              <w:rPr/>
            </w:pPr>
            <w:r>
              <w:rPr/>
              <w:t>(2,439,424</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right"/>
              <w:rPr/>
            </w:pPr>
            <w:r>
              <w:rPr/>
              <w:t>38,164</w:t>
            </w:r>
          </w:p>
        </w:tc>
        <w:tc>
          <w:tcPr>
            <w:tcW w:w="158"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loss for the period</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568" w:type="dxa"/>
            <w:tcBorders/>
            <w:vAlign w:val="bottom"/>
          </w:tcPr>
          <w:p>
            <w:pPr>
              <w:pStyle w:val="TableContents"/>
              <w:bidi w:val="0"/>
              <w:spacing w:before="0" w:after="283"/>
              <w:jc w:val="right"/>
              <w:rPr/>
            </w:pPr>
            <w:r>
              <w:rPr/>
              <w:t>(15,094,270</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559" w:type="dxa"/>
            <w:tcBorders/>
            <w:vAlign w:val="bottom"/>
          </w:tcPr>
          <w:p>
            <w:pPr>
              <w:pStyle w:val="TableContents"/>
              <w:bidi w:val="0"/>
              <w:spacing w:before="0" w:after="283"/>
              <w:jc w:val="right"/>
              <w:rPr/>
            </w:pPr>
            <w:r>
              <w:rPr/>
              <w:t>(6,729,111</w:t>
            </w:r>
          </w:p>
        </w:tc>
        <w:tc>
          <w:tcPr>
            <w:tcW w:w="158" w:type="dxa"/>
            <w:tcBorders/>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5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55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per share – basic and diluted (Owners of the Company (Note 11(h))</w:t>
            </w:r>
          </w:p>
        </w:tc>
        <w:tc>
          <w:tcPr>
            <w:tcW w:w="3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568"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559" w:type="dxa"/>
            <w:tcBorders/>
            <w:shd w:fill="CCEEFF" w:val="clear"/>
            <w:vAlign w:val="bottom"/>
          </w:tcPr>
          <w:p>
            <w:pPr>
              <w:pStyle w:val="TableContents"/>
              <w:bidi w:val="0"/>
              <w:spacing w:before="0" w:after="283"/>
              <w:jc w:val="right"/>
              <w:rPr/>
            </w:pPr>
            <w:r>
              <w:rPr/>
              <w:t>(0.21</w:t>
            </w:r>
          </w:p>
        </w:tc>
        <w:tc>
          <w:tcPr>
            <w:tcW w:w="158" w:type="dxa"/>
            <w:tcBorders/>
            <w:shd w:fill="CCEEFF" w:val="clear"/>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5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55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43"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 basic and diluted</w:t>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8" w:type="dxa"/>
            <w:tcBorders/>
            <w:vAlign w:val="bottom"/>
          </w:tcPr>
          <w:p>
            <w:pPr>
              <w:pStyle w:val="TableContents"/>
              <w:bidi w:val="0"/>
              <w:spacing w:before="0" w:after="283"/>
              <w:jc w:val="right"/>
              <w:rPr/>
            </w:pPr>
            <w:r>
              <w:rPr/>
              <w:t>56,712,624</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right"/>
              <w:rPr/>
            </w:pPr>
            <w:r>
              <w:rPr/>
              <w:t>35,686,256</w:t>
            </w:r>
          </w:p>
        </w:tc>
        <w:tc>
          <w:tcPr>
            <w:tcW w:w="158" w:type="dxa"/>
            <w:tcBorders/>
            <w:vAlign w:val="bottom"/>
          </w:tcPr>
          <w:p>
            <w:pPr>
              <w:pStyle w:val="TableContents"/>
              <w:bidi w:val="0"/>
              <w:spacing w:before="0" w:after="283"/>
              <w:jc w:val="left"/>
              <w:rPr/>
            </w:pPr>
            <w:r>
              <w:rPr/>
              <w:t> </w:t>
            </w:r>
          </w:p>
        </w:tc>
      </w:tr>
      <w:tr>
        <w:trPr/>
        <w:tc>
          <w:tcPr>
            <w:tcW w:w="574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CHANGES IN SHAREHOLDERS’ EQUITY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5290" w:type="dxa"/>
        <w:jc w:val="center"/>
        <w:tblInd w:w="0" w:type="dxa"/>
        <w:tblLayout w:type="fixed"/>
        <w:tblCellMar>
          <w:top w:w="0" w:type="dxa"/>
          <w:left w:w="0" w:type="dxa"/>
          <w:bottom w:w="0" w:type="dxa"/>
          <w:right w:w="0" w:type="dxa"/>
        </w:tblCellMar>
      </w:tblPr>
      <w:tblGrid>
        <w:gridCol w:w="890"/>
        <w:gridCol w:w="60"/>
        <w:gridCol w:w="60"/>
        <w:gridCol w:w="980"/>
        <w:gridCol w:w="60"/>
        <w:gridCol w:w="60"/>
        <w:gridCol w:w="140"/>
        <w:gridCol w:w="1100"/>
        <w:gridCol w:w="60"/>
        <w:gridCol w:w="60"/>
        <w:gridCol w:w="60"/>
        <w:gridCol w:w="1100"/>
        <w:gridCol w:w="60"/>
        <w:gridCol w:w="60"/>
        <w:gridCol w:w="140"/>
        <w:gridCol w:w="1220"/>
        <w:gridCol w:w="60"/>
        <w:gridCol w:w="60"/>
        <w:gridCol w:w="140"/>
        <w:gridCol w:w="1100"/>
        <w:gridCol w:w="155"/>
        <w:gridCol w:w="60"/>
        <w:gridCol w:w="140"/>
        <w:gridCol w:w="1295"/>
        <w:gridCol w:w="155"/>
        <w:gridCol w:w="60"/>
        <w:gridCol w:w="188"/>
        <w:gridCol w:w="1422"/>
        <w:gridCol w:w="155"/>
        <w:gridCol w:w="60"/>
        <w:gridCol w:w="199"/>
        <w:gridCol w:w="1501"/>
        <w:gridCol w:w="155"/>
        <w:gridCol w:w="60"/>
        <w:gridCol w:w="232"/>
        <w:gridCol w:w="1828"/>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Preferred</w:t>
            </w:r>
            <w:r>
              <w:rPr/>
              <w:br/>
            </w: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Total-Shareholders’</w:t>
              <w:br/>
              <w:t>Equity</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8,905,638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31,705,219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35,641,603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116,360,066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20,503,904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(131,003,831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(4,160,555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(1,565,834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31,838,969</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Share-based payments (Note 11(d))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1,493,407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1,493,407</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warrants (Notes 11(b)(i) and 11(e))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458,047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(41,641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416,406</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options (Notes 11(b)(ii) and 11(d))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(8,658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13,517</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(6,762,608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(4,667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right"/>
              <w:rPr/>
            </w:pPr>
            <w:r>
              <w:rPr/>
              <w:t>(6,767,275</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38,164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right"/>
              <w:rPr/>
            </w:pPr>
            <w:r>
              <w:rPr/>
              <w:t>38,164</w:t>
            </w:r>
          </w:p>
        </w:tc>
        <w:tc>
          <w:tcPr>
            <w:tcW w:w="155" w:type="dxa"/>
            <w:tcBorders/>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March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8,905,638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31,705,219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35,849,353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116,840,288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21,947,012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(137,766,439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(4,122,391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(1,570,501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828" w:type="dxa"/>
            <w:tcBorders/>
            <w:shd w:fill="CCEEFF" w:val="clear"/>
            <w:vAlign w:val="bottom"/>
          </w:tcPr>
          <w:p>
            <w:pPr>
              <w:pStyle w:val="TableContents"/>
              <w:bidi w:val="0"/>
              <w:spacing w:before="0" w:after="283"/>
              <w:jc w:val="right"/>
              <w:rPr/>
            </w:pPr>
            <w:r>
              <w:rPr/>
              <w:t>27,033,188</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8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CHANGES IN SHAREHOLDERS’ EQUITY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5290" w:type="dxa"/>
        <w:jc w:val="center"/>
        <w:tblInd w:w="0" w:type="dxa"/>
        <w:tblLayout w:type="fixed"/>
        <w:tblCellMar>
          <w:top w:w="0" w:type="dxa"/>
          <w:left w:w="0" w:type="dxa"/>
          <w:bottom w:w="0" w:type="dxa"/>
          <w:right w:w="0" w:type="dxa"/>
        </w:tblCellMar>
      </w:tblPr>
      <w:tblGrid>
        <w:gridCol w:w="890"/>
        <w:gridCol w:w="60"/>
        <w:gridCol w:w="60"/>
        <w:gridCol w:w="980"/>
        <w:gridCol w:w="60"/>
        <w:gridCol w:w="60"/>
        <w:gridCol w:w="140"/>
        <w:gridCol w:w="1100"/>
        <w:gridCol w:w="60"/>
        <w:gridCol w:w="60"/>
        <w:gridCol w:w="60"/>
        <w:gridCol w:w="1100"/>
        <w:gridCol w:w="60"/>
        <w:gridCol w:w="60"/>
        <w:gridCol w:w="140"/>
        <w:gridCol w:w="1220"/>
        <w:gridCol w:w="60"/>
        <w:gridCol w:w="60"/>
        <w:gridCol w:w="140"/>
        <w:gridCol w:w="1100"/>
        <w:gridCol w:w="155"/>
        <w:gridCol w:w="60"/>
        <w:gridCol w:w="140"/>
        <w:gridCol w:w="1295"/>
        <w:gridCol w:w="155"/>
        <w:gridCol w:w="60"/>
        <w:gridCol w:w="188"/>
        <w:gridCol w:w="1422"/>
        <w:gridCol w:w="155"/>
        <w:gridCol w:w="60"/>
        <w:gridCol w:w="199"/>
        <w:gridCol w:w="1501"/>
        <w:gridCol w:w="155"/>
        <w:gridCol w:w="60"/>
        <w:gridCol w:w="212"/>
        <w:gridCol w:w="1848"/>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Preferred</w:t>
            </w:r>
            <w:r>
              <w:rPr/>
              <w:br/>
            </w: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Total-Shareholders’</w:t>
              <w:br/>
              <w:t>Equity</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December 31, 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8,355,638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29,738,321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51,939,206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195,406,895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28,520,331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(169,579,974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(2,044,137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01" w:type="dxa"/>
            <w:tcBorders/>
            <w:shd w:fill="CCEEFF" w:val="clear"/>
            <w:vAlign w:val="bottom"/>
          </w:tcPr>
          <w:p>
            <w:pPr>
              <w:pStyle w:val="TableContents"/>
              <w:bidi w:val="0"/>
              <w:spacing w:before="0" w:after="283"/>
              <w:jc w:val="right"/>
              <w:rPr/>
            </w:pPr>
            <w:r>
              <w:rPr/>
              <w:t>(1,595,343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848" w:type="dxa"/>
            <w:tcBorders/>
            <w:shd w:fill="CCEEFF" w:val="clear"/>
            <w:vAlign w:val="bottom"/>
          </w:tcPr>
          <w:p>
            <w:pPr>
              <w:pStyle w:val="TableContents"/>
              <w:bidi w:val="0"/>
              <w:spacing w:before="0" w:after="283"/>
              <w:jc w:val="right"/>
              <w:rPr/>
            </w:pPr>
            <w:r>
              <w:rPr/>
              <w:t>80,446,093</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shares and pre-funded warrants, net of transaction costs (Note 11(b)(v) and 11(f))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7,607,145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49,364,657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9,270,238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48" w:type="dxa"/>
            <w:tcBorders/>
            <w:vAlign w:val="bottom"/>
          </w:tcPr>
          <w:p>
            <w:pPr>
              <w:pStyle w:val="TableContents"/>
              <w:bidi w:val="0"/>
              <w:spacing w:before="0" w:after="283"/>
              <w:jc w:val="right"/>
              <w:rPr/>
            </w:pPr>
            <w:r>
              <w:rPr/>
              <w:t>58,634,895</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Share-based payments (Note 11(d)(iii) and 11(d)(v))</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2,252,856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283"/>
              <w:jc w:val="right"/>
              <w:rPr/>
            </w:pPr>
            <w:r>
              <w:rPr/>
              <w:t>2,252,856</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warrants (Notes 11(b)(iv) and 11(e))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2,226,279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10,535,670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(701,438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48" w:type="dxa"/>
            <w:tcBorders/>
            <w:vAlign w:val="bottom"/>
          </w:tcPr>
          <w:p>
            <w:pPr>
              <w:pStyle w:val="TableContents"/>
              <w:bidi w:val="0"/>
              <w:spacing w:before="0" w:after="283"/>
              <w:jc w:val="right"/>
              <w:rPr/>
            </w:pPr>
            <w:r>
              <w:rPr/>
              <w:t>9,834,232</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Exercise of options (Notes 11(b)(iii) and 11(d)(iii))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(75,945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283"/>
              <w:jc w:val="right"/>
              <w:rPr/>
            </w:pPr>
            <w:r>
              <w:rPr/>
              <w:t>113,855</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sz w:val="18"/>
              </w:rPr>
            </w:pPr>
            <w:r>
              <w:rPr>
                <w:rFonts w:ascii="Times New Roman" w:hAnsi="Times New Roman"/>
                <w:sz w:val="18"/>
              </w:rPr>
              <w:t>Net loss for the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(12,653,431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01" w:type="dxa"/>
            <w:tcBorders/>
            <w:vAlign w:val="bottom"/>
          </w:tcPr>
          <w:p>
            <w:pPr>
              <w:pStyle w:val="TableContents"/>
              <w:bidi w:val="0"/>
              <w:spacing w:before="0" w:after="283"/>
              <w:jc w:val="right"/>
              <w:rPr/>
            </w:pPr>
            <w:r>
              <w:rPr/>
              <w:t>(1,415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48"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r>
      <w:tr>
        <w:trPr/>
        <w:tc>
          <w:tcPr>
            <w:tcW w:w="89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(2,439,424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283"/>
              <w:jc w:val="right"/>
              <w:rPr/>
            </w:pPr>
            <w:r>
              <w:rPr/>
              <w:t>(2,439,424</w:t>
            </w:r>
          </w:p>
        </w:tc>
        <w:tc>
          <w:tcPr>
            <w:tcW w:w="155" w:type="dxa"/>
            <w:tcBorders/>
            <w:shd w:fill="CCEEFF" w:val="clear"/>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8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9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 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8,355,638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29,738,321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61,808,630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255,497,022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39,266,042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5" w:type="dxa"/>
            <w:tcBorders/>
            <w:vAlign w:val="bottom"/>
          </w:tcPr>
          <w:p>
            <w:pPr>
              <w:pStyle w:val="TableContents"/>
              <w:bidi w:val="0"/>
              <w:spacing w:before="0" w:after="283"/>
              <w:jc w:val="right"/>
              <w:rPr/>
            </w:pPr>
            <w:r>
              <w:rPr/>
              <w:t>(182,233,405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422" w:type="dxa"/>
            <w:tcBorders/>
            <w:vAlign w:val="bottom"/>
          </w:tcPr>
          <w:p>
            <w:pPr>
              <w:pStyle w:val="TableContents"/>
              <w:bidi w:val="0"/>
              <w:spacing w:before="0" w:after="283"/>
              <w:jc w:val="right"/>
              <w:rPr/>
            </w:pPr>
            <w:r>
              <w:rPr/>
              <w:t>(4,483,561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501" w:type="dxa"/>
            <w:tcBorders/>
            <w:vAlign w:val="bottom"/>
          </w:tcPr>
          <w:p>
            <w:pPr>
              <w:pStyle w:val="TableContents"/>
              <w:bidi w:val="0"/>
              <w:spacing w:before="0" w:after="283"/>
              <w:jc w:val="right"/>
              <w:rPr/>
            </w:pPr>
            <w:r>
              <w:rPr/>
              <w:t>(1,596,758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848" w:type="dxa"/>
            <w:tcBorders/>
            <w:vAlign w:val="bottom"/>
          </w:tcPr>
          <w:p>
            <w:pPr>
              <w:pStyle w:val="TableContents"/>
              <w:bidi w:val="0"/>
              <w:spacing w:before="0" w:after="283"/>
              <w:jc w:val="right"/>
              <w:rPr/>
            </w:pPr>
            <w:r>
              <w:rPr/>
              <w:t>136,187,661</w:t>
            </w:r>
          </w:p>
        </w:tc>
        <w:tc>
          <w:tcPr>
            <w:tcW w:w="155" w:type="dxa"/>
            <w:tcBorders/>
            <w:vAlign w:val="bottom"/>
          </w:tcPr>
          <w:p>
            <w:pPr>
              <w:pStyle w:val="TableContents"/>
              <w:bidi w:val="0"/>
              <w:spacing w:before="0" w:after="283"/>
              <w:jc w:val="left"/>
              <w:rPr/>
            </w:pPr>
            <w:r>
              <w:rPr/>
              <w:t> </w:t>
            </w:r>
          </w:p>
        </w:tc>
      </w:tr>
      <w:tr>
        <w:trPr/>
        <w:tc>
          <w:tcPr>
            <w:tcW w:w="8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8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CONSOLIDATED STATEMENTS OF CASH FLOWS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01"/>
        <w:gridCol w:w="216"/>
        <w:gridCol w:w="185"/>
        <w:gridCol w:w="1563"/>
        <w:gridCol w:w="155"/>
        <w:gridCol w:w="174"/>
        <w:gridCol w:w="197"/>
        <w:gridCol w:w="1555"/>
        <w:gridCol w:w="159"/>
      </w:tblGrid>
      <w:tr>
        <w:trPr/>
        <w:tc>
          <w:tcPr>
            <w:tcW w:w="6001"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1"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748"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 March 31,</w:t>
            </w:r>
            <w:r>
              <w:rPr/>
              <w:br/>
            </w:r>
            <w:r>
              <w:rPr>
                <w:b/>
              </w:rPr>
              <w:t>2026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 March 31,</w:t>
            </w:r>
            <w:r>
              <w:rPr/>
              <w:br/>
            </w:r>
            <w:r>
              <w:rPr>
                <w:b/>
              </w:rPr>
              <w:t>2025</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55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0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563"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555" w:type="dxa"/>
            <w:tcBorders/>
            <w:vAlign w:val="bottom"/>
          </w:tcPr>
          <w:p>
            <w:pPr>
              <w:pStyle w:val="TableContents"/>
              <w:bidi w:val="0"/>
              <w:spacing w:before="0" w:after="283"/>
              <w:jc w:val="right"/>
              <w:rPr/>
            </w:pPr>
            <w:r>
              <w:rPr/>
              <w:t>(6,767,275</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Items not affecting cash</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55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01"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 on short-term investments</w:t>
            </w:r>
          </w:p>
          <w:p>
            <w:pPr>
              <w:pStyle w:val="TableContents"/>
              <w:bidi w:val="0"/>
              <w:spacing w:before="0" w:after="20"/>
              <w:jc w:val="left"/>
              <w:rPr>
                <w:rFonts w:ascii="Times New Roman" w:hAnsi="Times New Roman"/>
                <w:sz w:val="20"/>
              </w:rPr>
            </w:pPr>
            <w:r>
              <w:rPr>
                <w:rFonts w:ascii="Times New Roman" w:hAnsi="Times New Roman"/>
                <w:sz w:val="20"/>
              </w:rPr>
              <w:t>Depreciation (Note 6 and 7)</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jc w:val="right"/>
              <w:rPr/>
            </w:pPr>
            <w:r>
              <w:rPr/>
              <w:t>(378,988</w:t>
            </w:r>
          </w:p>
          <w:p>
            <w:pPr>
              <w:pStyle w:val="TableContents"/>
              <w:bidi w:val="0"/>
              <w:spacing w:before="0" w:after="20"/>
              <w:jc w:val="right"/>
              <w:rPr>
                <w:rFonts w:ascii="Times New Roman" w:hAnsi="Times New Roman"/>
                <w:sz w:val="20"/>
              </w:rPr>
            </w:pPr>
            <w:r>
              <w:rPr>
                <w:rFonts w:ascii="Times New Roman" w:hAnsi="Times New Roman"/>
                <w:sz w:val="20"/>
              </w:rPr>
              <w:t>90,146</w:t>
            </w:r>
          </w:p>
        </w:tc>
        <w:tc>
          <w:tcPr>
            <w:tcW w:w="155" w:type="dxa"/>
            <w:tcBorders/>
            <w:vAlign w:val="bottom"/>
          </w:tcPr>
          <w:p>
            <w:pPr>
              <w:pStyle w:val="TableContents"/>
              <w:bidi w:val="0"/>
              <w:jc w:val="left"/>
              <w:rPr/>
            </w:pPr>
            <w:r>
              <w:rPr/>
              <w:t>) </w:t>
            </w:r>
          </w:p>
          <w:p>
            <w:pPr>
              <w:pStyle w:val="TableContents"/>
              <w:bidi w:val="0"/>
              <w:spacing w:before="0" w:after="20"/>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jc w:val="right"/>
              <w:rPr/>
            </w:pPr>
            <w:r>
              <w:rPr/>
              <w:t>— </w:t>
            </w:r>
          </w:p>
          <w:p>
            <w:pPr>
              <w:pStyle w:val="TableContents"/>
              <w:bidi w:val="0"/>
              <w:spacing w:before="0" w:after="20"/>
              <w:jc w:val="right"/>
              <w:rPr>
                <w:rFonts w:ascii="Times New Roman" w:hAnsi="Times New Roman"/>
                <w:sz w:val="20"/>
              </w:rPr>
            </w:pPr>
            <w:r>
              <w:rPr>
                <w:rFonts w:ascii="Times New Roman" w:hAnsi="Times New Roman"/>
                <w:sz w:val="20"/>
              </w:rPr>
              <w:t>46,487</w:t>
            </w:r>
          </w:p>
        </w:tc>
        <w:tc>
          <w:tcPr>
            <w:tcW w:w="159"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 lease liability</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12,059</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1,187</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equipment (Note 6)</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1,075</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payments (Note 11(d))</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2,252,856</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1,493,407</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sz w:val="20"/>
              </w:rPr>
            </w:pPr>
            <w:r>
              <w:rPr>
                <w:rFonts w:ascii="Times New Roman" w:hAnsi="Times New Roman"/>
                <w:sz w:val="20"/>
              </w:rPr>
              <w:t>Lease payments (Note 9)</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(41,783</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(20,371</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foreign exchange</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(2,229,297</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(50,182</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55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1,539,474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(894,360</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1,239,668</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195,636</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receivable</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23,964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(8,675</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used in operating activities</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(10,146,747</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(6,003,071</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55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0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equipment (Note 6)</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(326,953</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(169,044</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short-term investments (Note 5)</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(79,724,564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used in investing activities</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(80,051,517</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(169,044</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55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0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shares and prefunded warrants (net of transaction costs) (Note 11(b)(v) and (11(f))</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58,634,895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warrants (Note 11(e))</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9,834,232</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416,406</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options (Note 11(d))</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113,855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13,517</w:t>
            </w:r>
          </w:p>
        </w:tc>
        <w:tc>
          <w:tcPr>
            <w:tcW w:w="159" w:type="dxa"/>
            <w:tcBorders/>
            <w:vAlign w:val="bottom"/>
          </w:tcPr>
          <w:p>
            <w:pPr>
              <w:pStyle w:val="TableContents"/>
              <w:bidi w:val="0"/>
              <w:spacing w:before="0" w:after="283"/>
              <w:jc w:val="left"/>
              <w:rPr/>
            </w:pPr>
            <w:r>
              <w:rPr/>
              <w:t> </w:t>
            </w:r>
          </w:p>
        </w:tc>
      </w:tr>
      <w:tr>
        <w:trPr/>
        <w:tc>
          <w:tcPr>
            <w:tcW w:w="600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provided by financing activities</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68,582,982</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429,923</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b/>
                <w:sz w:val="20"/>
              </w:rPr>
            </w:pPr>
            <w:r>
              <w:rPr>
                <w:rFonts w:ascii="Times New Roman" w:hAnsi="Times New Roman"/>
                <w:b/>
                <w:sz w:val="20"/>
              </w:rPr>
              <w:t>Increase (decrease) in cash</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(21,615,282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(5,742,192</w:t>
            </w:r>
          </w:p>
        </w:tc>
        <w:tc>
          <w:tcPr>
            <w:tcW w:w="159" w:type="dxa"/>
            <w:tcBorders/>
            <w:vAlign w:val="bottom"/>
          </w:tcPr>
          <w:p>
            <w:pPr>
              <w:pStyle w:val="TableContents"/>
              <w:bidi w:val="0"/>
              <w:spacing w:before="0" w:after="283"/>
              <w:jc w:val="left"/>
              <w:rPr/>
            </w:pPr>
            <w:r>
              <w:rPr/>
              <w:t>) </w:t>
            </w:r>
          </w:p>
        </w:tc>
      </w:tr>
      <w:tr>
        <w:trPr/>
        <w:tc>
          <w:tcPr>
            <w:tcW w:w="6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Foreign exchange effect on cash</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(448,176</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right"/>
              <w:rPr/>
            </w:pPr>
            <w:r>
              <w:rPr/>
              <w:t>95,496</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beginning of period</w:t>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80,563,482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right"/>
              <w:rPr/>
            </w:pPr>
            <w:r>
              <w:rPr/>
              <w:t>33,101,294</w:t>
            </w:r>
          </w:p>
        </w:tc>
        <w:tc>
          <w:tcPr>
            <w:tcW w:w="159" w:type="dxa"/>
            <w:tcBorders/>
            <w:vAlign w:val="bottom"/>
          </w:tcPr>
          <w:p>
            <w:pPr>
              <w:pStyle w:val="TableContents"/>
              <w:bidi w:val="0"/>
              <w:spacing w:before="0" w:after="283"/>
              <w:jc w:val="left"/>
              <w:rPr/>
            </w:pPr>
            <w:r>
              <w:rPr/>
              <w:t> </w:t>
            </w:r>
          </w:p>
        </w:tc>
      </w:tr>
      <w:tr>
        <w:trPr/>
        <w:tc>
          <w:tcPr>
            <w:tcW w:w="600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period</w:t>
            </w:r>
          </w:p>
        </w:tc>
        <w:tc>
          <w:tcPr>
            <w:tcW w:w="21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b/>
              </w:rPr>
            </w:pPr>
            <w:r>
              <w:rPr>
                <w:b/>
              </w:rPr>
              <w:t>$</w:t>
            </w:r>
          </w:p>
        </w:tc>
        <w:tc>
          <w:tcPr>
            <w:tcW w:w="1563" w:type="dxa"/>
            <w:tcBorders/>
            <w:shd w:fill="CCEEFF" w:val="clear"/>
            <w:vAlign w:val="bottom"/>
          </w:tcPr>
          <w:p>
            <w:pPr>
              <w:pStyle w:val="TableContents"/>
              <w:bidi w:val="0"/>
              <w:spacing w:before="0" w:after="283"/>
              <w:jc w:val="right"/>
              <w:rPr>
                <w:b/>
              </w:rPr>
            </w:pPr>
            <w:r>
              <w:rPr>
                <w:b/>
              </w:rPr>
              <w:t>58,500,024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555" w:type="dxa"/>
            <w:tcBorders/>
            <w:shd w:fill="CCEEFF" w:val="clear"/>
            <w:vAlign w:val="bottom"/>
          </w:tcPr>
          <w:p>
            <w:pPr>
              <w:pStyle w:val="TableContents"/>
              <w:bidi w:val="0"/>
              <w:spacing w:before="0" w:after="283"/>
              <w:jc w:val="right"/>
              <w:rPr>
                <w:b/>
              </w:rPr>
            </w:pPr>
            <w:r>
              <w:rPr>
                <w:b/>
              </w:rPr>
              <w:t>27,454,598</w:t>
            </w:r>
          </w:p>
        </w:tc>
        <w:tc>
          <w:tcPr>
            <w:tcW w:w="159" w:type="dxa"/>
            <w:tcBorders/>
            <w:shd w:fill="CCEEFF" w:val="clear"/>
            <w:vAlign w:val="bottom"/>
          </w:tcPr>
          <w:p>
            <w:pPr>
              <w:pStyle w:val="TableContents"/>
              <w:bidi w:val="0"/>
              <w:spacing w:before="0" w:after="283"/>
              <w:jc w:val="left"/>
              <w:rPr/>
            </w:pPr>
            <w:r>
              <w:rPr/>
              <w:t> </w:t>
            </w:r>
          </w:p>
        </w:tc>
      </w:tr>
      <w:tr>
        <w:trPr/>
        <w:tc>
          <w:tcPr>
            <w:tcW w:w="600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55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disclosure with respect to cash flows (Note 17) </w:t>
      </w:r>
    </w:p>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BUSINESS AND GOING CONCERN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Eupraxia Pharmaceuticals Inc. (the “Company”) was incorporated under the laws of the province of Alberta on May 12, 2011, under the name Plaza Capital Partners Inc. On May 11, 2012, the Company changed its name to Eupraxia Pharmaceuticals Inc. and continued from the province of Alberta to the province of British Columbia. </w:t>
      </w:r>
    </w:p>
    <w:p>
      <w:pPr>
        <w:pStyle w:val="TextBody"/>
        <w:bidi w:val="0"/>
        <w:spacing w:before="120" w:after="0"/>
        <w:jc w:val="left"/>
        <w:rPr>
          <w:rFonts w:ascii="Times New Roman" w:hAnsi="Times New Roman"/>
          <w:sz w:val="20"/>
        </w:rPr>
      </w:pPr>
      <w:r>
        <w:rPr>
          <w:rFonts w:ascii="Times New Roman" w:hAnsi="Times New Roman"/>
          <w:sz w:val="20"/>
        </w:rPr>
        <w:t xml:space="preserve">On October 10, 2012, Eupraxia Holdings, Inc. (“Holdings”) was incorporated under the laws of the State of Delaware, USA. On November 16, 2012, Holdings was registered as an extra-provincial corporation under the laws of the province of British Columbia, Canada. On October 10, 2012, Eupraxia Pharmaceuticals USA, LLC (“Eupraxia USA”) was incorporated under the laws of the State of Delaware. On November 16, 2012, Eupraxia USA was registered as an extra-provincial corporation under the laws of the province of British Columbia. On January 7, 2021, Eupraxia Pharma, Inc. (“Eupraxia Pharma”) was incorporated under the laws of the State of Delaware. On July 4, 2022, Eupraxia Pharmaceuticals Australia Pty Ltd. (“Eupraxia Australia”) was incorporated under the laws of the state of Victoria, Australia. On May 17, 2023, Eupraxia Pharma USA Inc. (“Eupraxia Pharma USA”) was incorporated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On March 9, 2021, the Company completed its initial public offering on the Toronto Stock Exchange (“TSX”) and began trading under the symbol “EPRX”. On April 5, 2024, the Company began trading on the Nasdaq Capital Market under the symbol “EPRX”.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 clinical stage biotechnology company leveraging its proprietary Diffusphere technology to optimize drug delivery for applications with significant unmet medical need. The address of the Company’s corporate office and principal place of business is 2198 Yukon Street, Vancouver, British Columbia, Canada.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of the Company have been prepared on a going concern basis with the assumption that the Company will be able to realize its assets and discharge its liabilities and commitments in the normal course of business. At March 31, 2026, the Company had cash and cash equivalents of $58,500,024 as well as short-term investments of $80,378,789. The Company has not yet generated revenue from operations. The Company incurred a net loss of $12,654,846 during the three months ended March 31, 2026, and as of that date, the Company’s accumulated deficit was $182,233,405. As the Company is in the research and development stage, the recoverability of the costs incurred to date is dependent upon the ability of the Company to obtain the necessary funding to complete the research and development of its projects and upon future commercialization or proceeds from the monetization of research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periodically have to raise funds to continue operations and recently raised proceeds of approximately $58.6 million (net of underwriting commissions and estimated expenses) through a public offering of 7,607,145 common shares of the Company and pre-funded warrants to purchase up to 1,428,571 common shares on February 20, 2026. Although it has been successful in doing so in the past, there is no assurance it will be able to do so in the future, especially with the ongoing geopolitical uncertainty affecting the global capital markets. The Company is active in its pursuit of additional funding through potential partnering and other strategic activities as well as grants to fund future research and development activities, and additional 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The continued operations of the Company are dependent on its ability to generate future cash flows or obtain additional funding. There is a risk that in the future, additional financing will not be available on a timely basis or on terms acceptable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unaudited interim consolidated financial statements are presented in U.S. dollars and have been prepared in accordance with United States generally accepted accounting principles (“U.S. GAAP”). These unaudited interim consolidated financial statements include the accounts of the Company and the accounts of its subsidiaries. All significant intercompany transactions and balances have been eliminated upon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interim consolidated financial statements have been prepared in accordance with U.S. GAAP and pursuant to the rules and regulations of the United States Securities and Exchange Commission (“SEC”) for interim financial information. Accordingly, these consolidated financial statements do not include all the information and footnotes required for complete consolidated financial statements and should be read in conjunction with the audited consolidated financial statements and notes for the year ended December 31, 2025 included in the Company’s 2025 40-F filed with the SEC and on SEDAR+ on March 13, 2026. </w:t>
      </w:r>
    </w:p>
    <w:p>
      <w:pPr>
        <w:pStyle w:val="TextBody"/>
        <w:bidi w:val="0"/>
        <w:spacing w:before="120" w:after="0"/>
        <w:jc w:val="left"/>
        <w:rPr>
          <w:rFonts w:ascii="Times New Roman" w:hAnsi="Times New Roman"/>
          <w:sz w:val="20"/>
        </w:rPr>
      </w:pPr>
      <w:r>
        <w:rPr>
          <w:rFonts w:ascii="Times New Roman" w:hAnsi="Times New Roman"/>
          <w:sz w:val="20"/>
        </w:rPr>
        <w:t xml:space="preserve">These unaudited interim consolidated financial statements reflect all adjustments, consisting of normal recurring adjustments, which, in the opinion of management, are necessary for a fair presentation of results for the interim periods presented. The results of operations for the three months ended March 31, 2026, and 2025 are not necessarily indicative of results that can be expected for a full year. These unaudited interim consolidated financial statements follow the same significant accounting policies as those described in the notes to the audited consolidated financial statements of the Company included in the Company’s 2025 Form 40-F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Basis of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unaudited interim consolidated financial statements have been prepared on a historical cost basis, except for certain financial instruments which are measured at fair value. The unaudited interim consolidated financial statements are presented in U.S. dollars, which is the Company’s reporting currency. The Company’s functional currency is the Canadian dollar.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unaudited interim consolidated financial statements in accordance with U.S. GAAP requires the Company to make estimates and judgments in certain circumstances that affect the reported amounts of assets, liabilities, expenses, and related disclosure. On an ongoing basis, the Company evaluates its estimates, most notably those related to accrual of expenses including clinical and preclinical study expense accruals, stock-based compensation and the valuation allowance for deferred taxes. Management bases its estimates on historical experience and on various other assumptions that it believes to be reasonable under the circumstances. Actual results could differ from these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These unaudited interim consolidated financial statements include the accounts of the Company and the accounts of its subsidiaries. The financial statements of subsidiaries are included in the unaudited interim consolidated financial statements from the date that control commences until the date that control ceases. Control exists when an entity is exposed to or has rights to variable returns from its involvement with the entity and has the ability to affect these returns through its power over the entity. All significant intercompany transactions and balances have been eliminated.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w:t>
      </w:r>
      <w:r>
        <w:rPr>
          <w:rFonts w:ascii="Times New Roman" w:hAnsi="Times New Roman"/>
          <w:b/>
          <w:sz w:val="20"/>
        </w:rPr>
        <w:t>ASU 2024-03</w:t>
      </w:r>
      <w:r>
        <w:rPr>
          <w:rFonts w:ascii="Times New Roman" w:hAnsi="Times New Roman"/>
          <w:sz w:val="20"/>
        </w:rPr>
        <w:t xml:space="preserve">, </w:t>
      </w:r>
      <w:r>
        <w:rPr>
          <w:rFonts w:ascii="Times New Roman" w:hAnsi="Times New Roman"/>
          <w:i/>
          <w:sz w:val="20"/>
        </w:rPr>
        <w:t>Income Statement—Reporting Comprehensive Income—Expense Disaggregation</w:t>
      </w:r>
      <w:r>
        <w:rPr>
          <w:rFonts w:ascii="Times New Roman" w:hAnsi="Times New Roman"/>
          <w:sz w:val="20"/>
        </w:rPr>
        <w:t xml:space="preserve"> Disclosures (Subtopic 220-40). This standard requires public business entities to disclose, in the footnotes, a tabular disaggregation of certain expense captions into specific natural categories. The standard is effective for the Company’s annual reporting periods beginning after December 15, 2026 (fiscal year 2027). The Company does not intend to early adopt this guidance and is currently evaluating the impact that the adoption will have on its financial statement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AMOUNTS RECEIVABLE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73"/>
        <w:gridCol w:w="288"/>
        <w:gridCol w:w="159"/>
        <w:gridCol w:w="945"/>
        <w:gridCol w:w="60"/>
        <w:gridCol w:w="288"/>
        <w:gridCol w:w="210"/>
        <w:gridCol w:w="1269"/>
        <w:gridCol w:w="63"/>
      </w:tblGrid>
      <w:tr>
        <w:trPr/>
        <w:tc>
          <w:tcPr>
            <w:tcW w:w="447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7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3" w:type="dxa"/>
            <w:tcBorders/>
            <w:vAlign w:val="bottom"/>
          </w:tcPr>
          <w:p>
            <w:pPr>
              <w:pStyle w:val="TableContents"/>
              <w:bidi w:val="0"/>
              <w:spacing w:before="0" w:after="283"/>
              <w:jc w:val="left"/>
              <w:rPr/>
            </w:pPr>
            <w:r>
              <w:rPr/>
              <w:t> </w:t>
            </w:r>
          </w:p>
        </w:tc>
      </w:tr>
      <w:tr>
        <w:trPr/>
        <w:tc>
          <w:tcPr>
            <w:tcW w:w="44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GST/HST recoverable</w:t>
            </w:r>
          </w:p>
        </w:tc>
        <w:tc>
          <w:tcPr>
            <w:tcW w:w="2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45" w:type="dxa"/>
            <w:tcBorders/>
            <w:shd w:fill="CCEEFF" w:val="clear"/>
            <w:vAlign w:val="bottom"/>
          </w:tcPr>
          <w:p>
            <w:pPr>
              <w:pStyle w:val="TableContents"/>
              <w:bidi w:val="0"/>
              <w:spacing w:before="0" w:after="283"/>
              <w:jc w:val="right"/>
              <w:rPr/>
            </w:pPr>
            <w:r>
              <w:rPr/>
              <w:t>186,568</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210,302</w:t>
            </w:r>
          </w:p>
        </w:tc>
        <w:tc>
          <w:tcPr>
            <w:tcW w:w="63" w:type="dxa"/>
            <w:tcBorders/>
            <w:shd w:fill="CCEEFF" w:val="clear"/>
            <w:vAlign w:val="bottom"/>
          </w:tcPr>
          <w:p>
            <w:pPr>
              <w:pStyle w:val="TableContents"/>
              <w:bidi w:val="0"/>
              <w:spacing w:before="0" w:after="283"/>
              <w:jc w:val="left"/>
              <w:rPr/>
            </w:pPr>
            <w:r>
              <w:rPr/>
              <w:t> </w:t>
            </w:r>
          </w:p>
        </w:tc>
      </w:tr>
      <w:tr>
        <w:trPr/>
        <w:tc>
          <w:tcPr>
            <w:tcW w:w="4473" w:type="dxa"/>
            <w:tcBorders/>
          </w:tcPr>
          <w:p>
            <w:pPr>
              <w:pStyle w:val="TableContents"/>
              <w:bidi w:val="0"/>
              <w:spacing w:before="0" w:after="0"/>
              <w:jc w:val="left"/>
              <w:rPr>
                <w:rFonts w:ascii="Times New Roman" w:hAnsi="Times New Roman"/>
                <w:sz w:val="20"/>
              </w:rPr>
            </w:pPr>
            <w:r>
              <w:rPr>
                <w:rFonts w:ascii="Times New Roman" w:hAnsi="Times New Roman"/>
                <w:sz w:val="20"/>
              </w:rPr>
              <w:t>Other refundable tax credits (1)</w:t>
            </w:r>
          </w:p>
        </w:tc>
        <w:tc>
          <w:tcPr>
            <w:tcW w:w="28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476,667</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463,924</w:t>
            </w:r>
          </w:p>
        </w:tc>
        <w:tc>
          <w:tcPr>
            <w:tcW w:w="63" w:type="dxa"/>
            <w:tcBorders/>
            <w:vAlign w:val="bottom"/>
          </w:tcPr>
          <w:p>
            <w:pPr>
              <w:pStyle w:val="TableContents"/>
              <w:bidi w:val="0"/>
              <w:spacing w:before="0" w:after="283"/>
              <w:jc w:val="left"/>
              <w:rPr/>
            </w:pPr>
            <w:r>
              <w:rPr/>
              <w:t> </w:t>
            </w:r>
          </w:p>
        </w:tc>
      </w:tr>
      <w:tr>
        <w:trPr/>
        <w:tc>
          <w:tcPr>
            <w:tcW w:w="447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4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945" w:type="dxa"/>
            <w:tcBorders/>
            <w:shd w:fill="CCEEFF" w:val="clear"/>
            <w:vAlign w:val="bottom"/>
          </w:tcPr>
          <w:p>
            <w:pPr>
              <w:pStyle w:val="TableContents"/>
              <w:bidi w:val="0"/>
              <w:spacing w:before="0" w:after="283"/>
              <w:jc w:val="right"/>
              <w:rPr>
                <w:b/>
              </w:rPr>
            </w:pPr>
            <w:r>
              <w:rPr>
                <w:b/>
              </w:rPr>
              <w:t>663,235</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269" w:type="dxa"/>
            <w:tcBorders/>
            <w:shd w:fill="CCEEFF" w:val="clear"/>
            <w:vAlign w:val="bottom"/>
          </w:tcPr>
          <w:p>
            <w:pPr>
              <w:pStyle w:val="TableContents"/>
              <w:bidi w:val="0"/>
              <w:spacing w:before="0" w:after="283"/>
              <w:jc w:val="right"/>
              <w:rPr>
                <w:b/>
              </w:rPr>
            </w:pPr>
            <w:r>
              <w:rPr>
                <w:b/>
              </w:rPr>
              <w:t>674,226</w:t>
            </w:r>
          </w:p>
        </w:tc>
        <w:tc>
          <w:tcPr>
            <w:tcW w:w="63" w:type="dxa"/>
            <w:tcBorders/>
            <w:shd w:fill="CCEEFF" w:val="clear"/>
            <w:vAlign w:val="bottom"/>
          </w:tcPr>
          <w:p>
            <w:pPr>
              <w:pStyle w:val="TableContents"/>
              <w:bidi w:val="0"/>
              <w:spacing w:before="0" w:after="283"/>
              <w:jc w:val="left"/>
              <w:rPr/>
            </w:pPr>
            <w:r>
              <w:rPr/>
              <w:t> </w:t>
            </w:r>
          </w:p>
        </w:tc>
      </w:tr>
      <w:tr>
        <w:trPr/>
        <w:tc>
          <w:tcPr>
            <w:tcW w:w="447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refundable tax credits represent tax incentives for R&amp;D costs incurred by Eupraxia Australia (Note 13 – Research and Development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Company had short-term investments of $80,378,789. The following table presents details of movement in the carrying value of the short-term investments: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69"/>
        <w:gridCol w:w="383"/>
        <w:gridCol w:w="140"/>
        <w:gridCol w:w="1106"/>
        <w:gridCol w:w="60"/>
        <w:gridCol w:w="383"/>
        <w:gridCol w:w="199"/>
        <w:gridCol w:w="1251"/>
        <w:gridCol w:w="64"/>
      </w:tblGrid>
      <w:tr>
        <w:trPr/>
        <w:tc>
          <w:tcPr>
            <w:tcW w:w="4169"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69"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4" w:type="dxa"/>
            <w:tcBorders/>
            <w:vAlign w:val="bottom"/>
          </w:tcPr>
          <w:p>
            <w:pPr>
              <w:pStyle w:val="TableContents"/>
              <w:bidi w:val="0"/>
              <w:spacing w:before="0" w:after="283"/>
              <w:jc w:val="left"/>
              <w:rPr/>
            </w:pPr>
            <w:r>
              <w:rPr/>
              <w:t> </w:t>
            </w:r>
          </w:p>
        </w:tc>
      </w:tr>
      <w:tr>
        <w:trPr/>
        <w:tc>
          <w:tcPr>
            <w:tcW w:w="41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beginning</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169"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79,724,564</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378,988</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169"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275,237</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169"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ending</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80,378,789</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169"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04"/>
        <w:gridCol w:w="153"/>
        <w:gridCol w:w="172"/>
        <w:gridCol w:w="992"/>
        <w:gridCol w:w="155"/>
        <w:gridCol w:w="98"/>
        <w:gridCol w:w="240"/>
        <w:gridCol w:w="1387"/>
        <w:gridCol w:w="155"/>
        <w:gridCol w:w="98"/>
        <w:gridCol w:w="224"/>
        <w:gridCol w:w="1271"/>
        <w:gridCol w:w="155"/>
        <w:gridCol w:w="98"/>
        <w:gridCol w:w="145"/>
        <w:gridCol w:w="1017"/>
        <w:gridCol w:w="155"/>
        <w:gridCol w:w="98"/>
        <w:gridCol w:w="140"/>
        <w:gridCol w:w="984"/>
        <w:gridCol w:w="164"/>
      </w:tblGrid>
      <w:tr>
        <w:trPr/>
        <w:tc>
          <w:tcPr>
            <w:tcW w:w="230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Computers</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furniture</w:t>
              <w:br/>
              <w:t>and Equipment</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Improvements</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Lab</w:t>
              <w:br/>
              <w:t>Equipment</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Cost</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January 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79,237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60,369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118,359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559,618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817,583</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82,254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12,715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3,535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516,752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615,256</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(3,860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(3,817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(7,677</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adjustments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4,190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3,108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5,932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40,204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53,434</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December 31,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161,821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72,375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127,826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1,116,574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1,478,596</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2,115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34,003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14,809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356,478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407,405</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adjustments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(1,917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(1,791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(2,373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(24,893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(30,974</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March 31, 2026</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162,019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104,587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140,262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1,448,159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1,855,027</w:t>
            </w:r>
          </w:p>
        </w:tc>
        <w:tc>
          <w:tcPr>
            <w:tcW w:w="164"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Accumulated Depreciation</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January 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56,180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46,260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114,177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243,073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459,690</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33,606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3,404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5,205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122,189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164,404</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(3,556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(1,559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(5,115</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adjustments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2,454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2,351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5,798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14,585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25,188</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December 31,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88,684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50,456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125,180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379,847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644,167</w:t>
            </w:r>
          </w:p>
        </w:tc>
        <w:tc>
          <w:tcPr>
            <w:tcW w:w="164"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8,308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1,706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1,712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48,454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60,180</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c>
          <w:tcPr>
            <w:tcW w:w="12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adjustments</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(1,309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(890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(2,124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(6,557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(10,880</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March 31, 2026</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95,683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b/>
              </w:rPr>
            </w:pPr>
            <w:r>
              <w:rPr>
                <w:b/>
              </w:rPr>
              <w:t>51,272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b/>
              </w:rPr>
            </w:pPr>
            <w:r>
              <w:rPr>
                <w:b/>
              </w:rPr>
              <w:t>124,768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b/>
              </w:rPr>
            </w:pPr>
            <w:r>
              <w:rPr>
                <w:b/>
              </w:rPr>
              <w:t>421,744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693,467</w:t>
            </w:r>
          </w:p>
        </w:tc>
        <w:tc>
          <w:tcPr>
            <w:tcW w:w="164"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Net Book Value</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38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12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at December 31, 2025</w:t>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73,137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b/>
              </w:rPr>
            </w:pPr>
            <w:r>
              <w:rPr>
                <w:b/>
              </w:rPr>
              <w:t>$</w:t>
            </w:r>
          </w:p>
        </w:tc>
        <w:tc>
          <w:tcPr>
            <w:tcW w:w="1387" w:type="dxa"/>
            <w:tcBorders/>
            <w:vAlign w:val="bottom"/>
          </w:tcPr>
          <w:p>
            <w:pPr>
              <w:pStyle w:val="TableContents"/>
              <w:bidi w:val="0"/>
              <w:spacing w:before="0" w:after="283"/>
              <w:jc w:val="right"/>
              <w:rPr>
                <w:b/>
              </w:rPr>
            </w:pPr>
            <w:r>
              <w:rPr>
                <w:b/>
              </w:rPr>
              <w:t>21,919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b/>
              </w:rPr>
            </w:pPr>
            <w:r>
              <w:rPr>
                <w:b/>
              </w:rPr>
              <w:t>$</w:t>
            </w:r>
          </w:p>
        </w:tc>
        <w:tc>
          <w:tcPr>
            <w:tcW w:w="1271" w:type="dxa"/>
            <w:tcBorders/>
            <w:vAlign w:val="bottom"/>
          </w:tcPr>
          <w:p>
            <w:pPr>
              <w:pStyle w:val="TableContents"/>
              <w:bidi w:val="0"/>
              <w:spacing w:before="0" w:after="283"/>
              <w:jc w:val="right"/>
              <w:rPr>
                <w:b/>
              </w:rPr>
            </w:pPr>
            <w:r>
              <w:rPr>
                <w:b/>
              </w:rPr>
              <w:t>2,646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017" w:type="dxa"/>
            <w:tcBorders/>
            <w:vAlign w:val="bottom"/>
          </w:tcPr>
          <w:p>
            <w:pPr>
              <w:pStyle w:val="TableContents"/>
              <w:bidi w:val="0"/>
              <w:spacing w:before="0" w:after="283"/>
              <w:jc w:val="right"/>
              <w:rPr>
                <w:b/>
              </w:rPr>
            </w:pPr>
            <w:r>
              <w:rPr>
                <w:b/>
              </w:rPr>
              <w:t>736,727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4" w:type="dxa"/>
            <w:tcBorders/>
            <w:vAlign w:val="bottom"/>
          </w:tcPr>
          <w:p>
            <w:pPr>
              <w:pStyle w:val="TableContents"/>
              <w:bidi w:val="0"/>
              <w:spacing w:before="0" w:after="283"/>
              <w:jc w:val="right"/>
              <w:rPr>
                <w:b/>
              </w:rPr>
            </w:pPr>
            <w:r>
              <w:rPr>
                <w:b/>
              </w:rPr>
              <w:t>834,429</w:t>
            </w:r>
          </w:p>
        </w:tc>
        <w:tc>
          <w:tcPr>
            <w:tcW w:w="164"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at March 31, 2026</w:t>
            </w:r>
          </w:p>
        </w:tc>
        <w:tc>
          <w:tcPr>
            <w:tcW w:w="1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992" w:type="dxa"/>
            <w:tcBorders/>
            <w:shd w:fill="CCEEFF" w:val="clear"/>
            <w:vAlign w:val="bottom"/>
          </w:tcPr>
          <w:p>
            <w:pPr>
              <w:pStyle w:val="TableContents"/>
              <w:bidi w:val="0"/>
              <w:spacing w:before="0" w:after="283"/>
              <w:jc w:val="right"/>
              <w:rPr>
                <w:b/>
              </w:rPr>
            </w:pPr>
            <w:r>
              <w:rPr>
                <w:b/>
              </w:rPr>
              <w:t>66,336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b/>
              </w:rPr>
            </w:pPr>
            <w:r>
              <w:rPr>
                <w:b/>
              </w:rPr>
              <w:t>$</w:t>
            </w:r>
          </w:p>
        </w:tc>
        <w:tc>
          <w:tcPr>
            <w:tcW w:w="1387" w:type="dxa"/>
            <w:tcBorders/>
            <w:shd w:fill="CCEEFF" w:val="clear"/>
            <w:vAlign w:val="bottom"/>
          </w:tcPr>
          <w:p>
            <w:pPr>
              <w:pStyle w:val="TableContents"/>
              <w:bidi w:val="0"/>
              <w:spacing w:before="0" w:after="283"/>
              <w:jc w:val="right"/>
              <w:rPr>
                <w:b/>
              </w:rPr>
            </w:pPr>
            <w:r>
              <w:rPr>
                <w:b/>
              </w:rPr>
              <w:t>53,315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b/>
              </w:rPr>
            </w:pPr>
            <w:r>
              <w:rPr>
                <w:b/>
              </w:rPr>
              <w:t>$</w:t>
            </w:r>
          </w:p>
        </w:tc>
        <w:tc>
          <w:tcPr>
            <w:tcW w:w="1271" w:type="dxa"/>
            <w:tcBorders/>
            <w:shd w:fill="CCEEFF" w:val="clear"/>
            <w:vAlign w:val="bottom"/>
          </w:tcPr>
          <w:p>
            <w:pPr>
              <w:pStyle w:val="TableContents"/>
              <w:bidi w:val="0"/>
              <w:spacing w:before="0" w:after="283"/>
              <w:jc w:val="right"/>
              <w:rPr>
                <w:b/>
              </w:rPr>
            </w:pPr>
            <w:r>
              <w:rPr>
                <w:b/>
              </w:rPr>
              <w:t>15,494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017" w:type="dxa"/>
            <w:tcBorders/>
            <w:shd w:fill="CCEEFF" w:val="clear"/>
            <w:vAlign w:val="bottom"/>
          </w:tcPr>
          <w:p>
            <w:pPr>
              <w:pStyle w:val="TableContents"/>
              <w:bidi w:val="0"/>
              <w:spacing w:before="0" w:after="283"/>
              <w:jc w:val="right"/>
              <w:rPr>
                <w:b/>
              </w:rPr>
            </w:pPr>
            <w:r>
              <w:rPr>
                <w:b/>
              </w:rPr>
              <w:t>1,026,415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4" w:type="dxa"/>
            <w:tcBorders/>
            <w:shd w:fill="CCEEFF" w:val="clear"/>
            <w:vAlign w:val="bottom"/>
          </w:tcPr>
          <w:p>
            <w:pPr>
              <w:pStyle w:val="TableContents"/>
              <w:bidi w:val="0"/>
              <w:spacing w:before="0" w:after="283"/>
              <w:jc w:val="right"/>
              <w:rPr>
                <w:b/>
              </w:rPr>
            </w:pPr>
            <w:r>
              <w:rPr>
                <w:b/>
              </w:rPr>
              <w:t>1,161,560</w:t>
            </w:r>
          </w:p>
        </w:tc>
        <w:tc>
          <w:tcPr>
            <w:tcW w:w="164" w:type="dxa"/>
            <w:tcBorders/>
            <w:shd w:fill="CCEEFF" w:val="clear"/>
            <w:vAlign w:val="bottom"/>
          </w:tcPr>
          <w:p>
            <w:pPr>
              <w:pStyle w:val="TableContents"/>
              <w:bidi w:val="0"/>
              <w:spacing w:before="0" w:after="283"/>
              <w:jc w:val="left"/>
              <w:rPr/>
            </w:pPr>
            <w:r>
              <w:rPr/>
              <w:t> </w:t>
            </w:r>
          </w:p>
        </w:tc>
      </w:tr>
      <w:tr>
        <w:trPr/>
        <w:tc>
          <w:tcPr>
            <w:tcW w:w="2304"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0"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2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and 2025, depreciation expense of $60,180 and $28,619, respectively, was recognized with $4,750 included in general and administrative and $55,430 included in research and development ($1,804 and $26,815 for general and administrative, and research and development in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RIGHT-OF-USE ASSET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23, 2025, the Company extended the lease of the office space until November 30, 2026 (with the option to extend for an additional year). On February 28, 2026, the Company entered into a lease for office and laboratory space until February 28, 2031 with the option to extend for an additional five years. The following table presents details of movement in the carrying value of the right-of-use asset: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70"/>
        <w:gridCol w:w="322"/>
        <w:gridCol w:w="140"/>
        <w:gridCol w:w="1049"/>
        <w:gridCol w:w="155"/>
        <w:gridCol w:w="277"/>
        <w:gridCol w:w="211"/>
        <w:gridCol w:w="1272"/>
        <w:gridCol w:w="159"/>
      </w:tblGrid>
      <w:tr>
        <w:trPr/>
        <w:tc>
          <w:tcPr>
            <w:tcW w:w="417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7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41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beginning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9" w:type="dxa"/>
            <w:tcBorders/>
            <w:shd w:fill="CCEEFF" w:val="clear"/>
            <w:vAlign w:val="bottom"/>
          </w:tcPr>
          <w:p>
            <w:pPr>
              <w:pStyle w:val="TableContents"/>
              <w:bidi w:val="0"/>
              <w:spacing w:before="0" w:after="283"/>
              <w:jc w:val="right"/>
              <w:rPr/>
            </w:pPr>
            <w:r>
              <w:rPr/>
              <w:t>152,697</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2" w:type="dxa"/>
            <w:tcBorders/>
            <w:shd w:fill="CCEEFF" w:val="clear"/>
            <w:vAlign w:val="bottom"/>
          </w:tcPr>
          <w:p>
            <w:pPr>
              <w:pStyle w:val="TableContents"/>
              <w:bidi w:val="0"/>
              <w:spacing w:before="0" w:after="283"/>
              <w:jc w:val="right"/>
              <w:rPr/>
            </w:pPr>
            <w:r>
              <w:rPr/>
              <w:t>67,023</w:t>
            </w:r>
          </w:p>
        </w:tc>
        <w:tc>
          <w:tcPr>
            <w:tcW w:w="159" w:type="dxa"/>
            <w:tcBorders/>
            <w:shd w:fill="CCEEFF" w:val="clear"/>
            <w:vAlign w:val="bottom"/>
          </w:tcPr>
          <w:p>
            <w:pPr>
              <w:pStyle w:val="TableContents"/>
              <w:bidi w:val="0"/>
              <w:spacing w:before="0" w:after="283"/>
              <w:jc w:val="left"/>
              <w:rPr/>
            </w:pPr>
            <w:r>
              <w:rPr/>
              <w:t> </w:t>
            </w:r>
          </w:p>
        </w:tc>
      </w:tr>
      <w:tr>
        <w:trPr/>
        <w:tc>
          <w:tcPr>
            <w:tcW w:w="4170"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1,923,945</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158,508</w:t>
            </w:r>
          </w:p>
        </w:tc>
        <w:tc>
          <w:tcPr>
            <w:tcW w:w="159" w:type="dxa"/>
            <w:tcBorders/>
            <w:vAlign w:val="bottom"/>
          </w:tcPr>
          <w:p>
            <w:pPr>
              <w:pStyle w:val="TableContents"/>
              <w:bidi w:val="0"/>
              <w:spacing w:before="0" w:after="283"/>
              <w:jc w:val="left"/>
              <w:rPr/>
            </w:pPr>
            <w:r>
              <w:rPr/>
              <w:t> </w:t>
            </w:r>
          </w:p>
        </w:tc>
      </w:tr>
      <w:tr>
        <w:trPr/>
        <w:tc>
          <w:tcPr>
            <w:tcW w:w="4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(29,966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(73,313</w:t>
            </w:r>
          </w:p>
        </w:tc>
        <w:tc>
          <w:tcPr>
            <w:tcW w:w="159" w:type="dxa"/>
            <w:tcBorders/>
            <w:shd w:fill="CCEEFF" w:val="clear"/>
            <w:vAlign w:val="bottom"/>
          </w:tcPr>
          <w:p>
            <w:pPr>
              <w:pStyle w:val="TableContents"/>
              <w:bidi w:val="0"/>
              <w:spacing w:before="0" w:after="283"/>
              <w:jc w:val="left"/>
              <w:rPr/>
            </w:pPr>
            <w:r>
              <w:rPr/>
              <w:t>) </w:t>
            </w:r>
          </w:p>
        </w:tc>
      </w:tr>
      <w:tr>
        <w:trPr/>
        <w:tc>
          <w:tcPr>
            <w:tcW w:w="4170"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(41,718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479</w:t>
            </w:r>
          </w:p>
        </w:tc>
        <w:tc>
          <w:tcPr>
            <w:tcW w:w="159" w:type="dxa"/>
            <w:tcBorders/>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ending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49" w:type="dxa"/>
            <w:tcBorders/>
            <w:shd w:fill="CCEEFF" w:val="clear"/>
            <w:vAlign w:val="bottom"/>
          </w:tcPr>
          <w:p>
            <w:pPr>
              <w:pStyle w:val="TableContents"/>
              <w:bidi w:val="0"/>
              <w:spacing w:before="0" w:after="283"/>
              <w:jc w:val="right"/>
              <w:rPr>
                <w:b/>
              </w:rPr>
            </w:pPr>
            <w:r>
              <w:rPr>
                <w:b/>
              </w:rPr>
              <w:t>2,004,958</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1272" w:type="dxa"/>
            <w:tcBorders/>
            <w:shd w:fill="CCEEFF" w:val="clear"/>
            <w:vAlign w:val="bottom"/>
          </w:tcPr>
          <w:p>
            <w:pPr>
              <w:pStyle w:val="TableContents"/>
              <w:bidi w:val="0"/>
              <w:spacing w:before="0" w:after="283"/>
              <w:jc w:val="right"/>
              <w:rPr>
                <w:b/>
              </w:rPr>
            </w:pPr>
            <w:r>
              <w:rPr>
                <w:b/>
              </w:rPr>
              <w:t>152,697</w:t>
            </w:r>
          </w:p>
        </w:tc>
        <w:tc>
          <w:tcPr>
            <w:tcW w:w="159" w:type="dxa"/>
            <w:tcBorders/>
            <w:shd w:fill="CCEEFF" w:val="clear"/>
            <w:vAlign w:val="bottom"/>
          </w:tcPr>
          <w:p>
            <w:pPr>
              <w:pStyle w:val="TableContents"/>
              <w:bidi w:val="0"/>
              <w:spacing w:before="0" w:after="283"/>
              <w:jc w:val="left"/>
              <w:rPr/>
            </w:pPr>
            <w:r>
              <w:rPr/>
              <w:t> </w:t>
            </w:r>
          </w:p>
        </w:tc>
      </w:tr>
      <w:tr>
        <w:trPr/>
        <w:tc>
          <w:tcPr>
            <w:tcW w:w="417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and 2025, depreciation expense of $29,966 and $17,868, respectively, was recognized with $14,930 included in general and administrative and $15,036 included in research and development ($6,695 and $11,173 for general and administrative, and research and development in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PAYABLE AND ACCRUED LIABILITIES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62"/>
        <w:gridCol w:w="281"/>
        <w:gridCol w:w="140"/>
        <w:gridCol w:w="1003"/>
        <w:gridCol w:w="60"/>
        <w:gridCol w:w="281"/>
        <w:gridCol w:w="176"/>
        <w:gridCol w:w="1288"/>
        <w:gridCol w:w="64"/>
      </w:tblGrid>
      <w:tr>
        <w:trPr/>
        <w:tc>
          <w:tcPr>
            <w:tcW w:w="4462"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6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4"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5,193,378</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2,962,025</w:t>
            </w:r>
          </w:p>
        </w:tc>
        <w:tc>
          <w:tcPr>
            <w:tcW w:w="64" w:type="dxa"/>
            <w:tcBorders/>
            <w:shd w:fill="CCEEFF" w:val="clear"/>
            <w:vAlign w:val="bottom"/>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1,289,050</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1,027,495</w:t>
            </w:r>
          </w:p>
        </w:tc>
        <w:tc>
          <w:tcPr>
            <w:tcW w:w="64"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Wages and payroll remittances</w:t>
            </w:r>
          </w:p>
        </w:tc>
        <w:tc>
          <w:tcPr>
            <w:tcW w:w="2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208,000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40,171</w:t>
            </w:r>
          </w:p>
        </w:tc>
        <w:tc>
          <w:tcPr>
            <w:tcW w:w="64" w:type="dxa"/>
            <w:tcBorders/>
            <w:shd w:fill="CCEEFF" w:val="clear"/>
            <w:vAlign w:val="bottom"/>
          </w:tcPr>
          <w:p>
            <w:pPr>
              <w:pStyle w:val="TableContents"/>
              <w:bidi w:val="0"/>
              <w:spacing w:before="0" w:after="283"/>
              <w:jc w:val="left"/>
              <w:rPr/>
            </w:pPr>
            <w:r>
              <w:rPr/>
              <w:t> </w:t>
            </w:r>
          </w:p>
        </w:tc>
      </w:tr>
      <w:tr>
        <w:trPr/>
        <w:tc>
          <w:tcPr>
            <w:tcW w:w="4462" w:type="dxa"/>
            <w:tcBorders/>
          </w:tcPr>
          <w:p>
            <w:pPr>
              <w:pStyle w:val="TableContents"/>
              <w:bidi w:val="0"/>
              <w:spacing w:before="0" w:after="0"/>
              <w:jc w:val="left"/>
              <w:rPr>
                <w:rFonts w:ascii="Times New Roman" w:hAnsi="Times New Roman"/>
                <w:sz w:val="20"/>
              </w:rPr>
            </w:pPr>
            <w:r>
              <w:rPr>
                <w:rFonts w:ascii="Times New Roman" w:hAnsi="Times New Roman"/>
                <w:sz w:val="20"/>
              </w:rPr>
              <w:t>Employee bonus payable</w:t>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445,061</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1,518,256</w:t>
            </w:r>
          </w:p>
        </w:tc>
        <w:tc>
          <w:tcPr>
            <w:tcW w:w="64" w:type="dxa"/>
            <w:tcBorders/>
            <w:vAlign w:val="bottom"/>
          </w:tcPr>
          <w:p>
            <w:pPr>
              <w:pStyle w:val="TableContents"/>
              <w:bidi w:val="0"/>
              <w:spacing w:before="0" w:after="283"/>
              <w:jc w:val="left"/>
              <w:rPr/>
            </w:pPr>
            <w:r>
              <w:rPr/>
              <w:t> </w:t>
            </w:r>
          </w:p>
        </w:tc>
      </w:tr>
      <w:tr>
        <w:trPr/>
        <w:tc>
          <w:tcPr>
            <w:tcW w:w="4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payable</w:t>
            </w:r>
          </w:p>
        </w:tc>
        <w:tc>
          <w:tcPr>
            <w:tcW w:w="2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23,390</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1,606</w:t>
            </w:r>
          </w:p>
        </w:tc>
        <w:tc>
          <w:tcPr>
            <w:tcW w:w="64" w:type="dxa"/>
            <w:tcBorders/>
            <w:shd w:fill="CCEEFF" w:val="clear"/>
            <w:vAlign w:val="bottom"/>
          </w:tcPr>
          <w:p>
            <w:pPr>
              <w:pStyle w:val="TableContents"/>
              <w:bidi w:val="0"/>
              <w:spacing w:before="0" w:after="283"/>
              <w:jc w:val="left"/>
              <w:rPr/>
            </w:pPr>
            <w:r>
              <w:rPr/>
              <w:t> </w:t>
            </w:r>
          </w:p>
        </w:tc>
      </w:tr>
      <w:tr>
        <w:trPr/>
        <w:tc>
          <w:tcPr>
            <w:tcW w:w="4462"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3" w:type="dxa"/>
            <w:tcBorders/>
            <w:vAlign w:val="bottom"/>
          </w:tcPr>
          <w:p>
            <w:pPr>
              <w:pStyle w:val="TableContents"/>
              <w:bidi w:val="0"/>
              <w:spacing w:before="0" w:after="283"/>
              <w:jc w:val="right"/>
              <w:rPr>
                <w:b/>
              </w:rPr>
            </w:pPr>
            <w:r>
              <w:rPr>
                <w:b/>
              </w:rPr>
              <w:t>7,158,879</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88" w:type="dxa"/>
            <w:tcBorders/>
            <w:vAlign w:val="bottom"/>
          </w:tcPr>
          <w:p>
            <w:pPr>
              <w:pStyle w:val="TableContents"/>
              <w:bidi w:val="0"/>
              <w:spacing w:before="0" w:after="283"/>
              <w:jc w:val="right"/>
              <w:rPr>
                <w:b/>
              </w:rPr>
            </w:pPr>
            <w:r>
              <w:rPr>
                <w:b/>
              </w:rPr>
              <w:t>5,549,553</w:t>
            </w:r>
          </w:p>
        </w:tc>
        <w:tc>
          <w:tcPr>
            <w:tcW w:w="64" w:type="dxa"/>
            <w:tcBorders/>
            <w:vAlign w:val="bottom"/>
          </w:tcPr>
          <w:p>
            <w:pPr>
              <w:pStyle w:val="TableContents"/>
              <w:bidi w:val="0"/>
              <w:spacing w:before="0" w:after="283"/>
              <w:jc w:val="left"/>
              <w:rPr/>
            </w:pPr>
            <w:r>
              <w:rPr/>
              <w:t> </w:t>
            </w:r>
          </w:p>
        </w:tc>
      </w:tr>
      <w:tr>
        <w:trPr/>
        <w:tc>
          <w:tcPr>
            <w:tcW w:w="4462"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an operating lease agreement for its Victoria, BC facility (of approximately 4,900 square feet of office space). As previously highlighted (Note 7 – Right-of-Use Asset), the Company extended the term of the lease for 12 months. The lease expires on November 30, 2026 with the option of the Company to extend the term for an additional 12 months which was considered in the determination of the right-of-use asset and lease liability. On April 10, 2026, the Company formally notified the landlord that it would not be renewing the lease for this property.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an operating lease agreement for its Vancouver, BC facility (approximately 3,199 square feet of office space and 6,684 square feet of laboratory space). The lease term is for 60 months, which expires on February 28, 2031. There is an option to extend the lease an additional 60 months. </w:t>
      </w:r>
    </w:p>
    <w:p>
      <w:pPr>
        <w:pStyle w:val="TextBody"/>
        <w:bidi w:val="0"/>
        <w:spacing w:before="120" w:after="0"/>
        <w:jc w:val="left"/>
        <w:rPr>
          <w:rFonts w:ascii="Times New Roman" w:hAnsi="Times New Roman"/>
          <w:sz w:val="20"/>
        </w:rPr>
      </w:pPr>
      <w:r>
        <w:rPr>
          <w:rFonts w:ascii="Times New Roman" w:hAnsi="Times New Roman"/>
          <w:sz w:val="20"/>
        </w:rPr>
        <w:t xml:space="preserve">The cost components of the operating lease were as follows for the periods ended March 31,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35"/>
        <w:gridCol w:w="478"/>
        <w:gridCol w:w="297"/>
        <w:gridCol w:w="1452"/>
        <w:gridCol w:w="275"/>
        <w:gridCol w:w="391"/>
        <w:gridCol w:w="297"/>
        <w:gridCol w:w="1452"/>
        <w:gridCol w:w="278"/>
      </w:tblGrid>
      <w:tr>
        <w:trPr/>
        <w:tc>
          <w:tcPr>
            <w:tcW w:w="2835"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35"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br/>
              <w:t>2026</w:t>
            </w:r>
          </w:p>
        </w:tc>
        <w:tc>
          <w:tcPr>
            <w:tcW w:w="27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7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March 31,</w:t>
              <w:br/>
              <w:t>2025</w:t>
            </w:r>
          </w:p>
        </w:tc>
        <w:tc>
          <w:tcPr>
            <w:tcW w:w="278" w:type="dxa"/>
            <w:tcBorders/>
            <w:vAlign w:val="bottom"/>
          </w:tcPr>
          <w:p>
            <w:pPr>
              <w:pStyle w:val="TableContents"/>
              <w:bidi w:val="0"/>
              <w:spacing w:before="0" w:after="283"/>
              <w:jc w:val="left"/>
              <w:rPr/>
            </w:pPr>
            <w:r>
              <w:rPr/>
              <w:t> </w:t>
            </w:r>
          </w:p>
        </w:tc>
      </w:tr>
      <w:tr>
        <w:trPr/>
        <w:tc>
          <w:tcPr>
            <w:tcW w:w="28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Cost</w:t>
            </w:r>
          </w:p>
        </w:tc>
        <w:tc>
          <w:tcPr>
            <w:tcW w:w="478"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45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452"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83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47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41,780</w:t>
            </w:r>
          </w:p>
        </w:tc>
        <w:tc>
          <w:tcPr>
            <w:tcW w:w="27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452" w:type="dxa"/>
            <w:tcBorders/>
            <w:vAlign w:val="bottom"/>
          </w:tcPr>
          <w:p>
            <w:pPr>
              <w:pStyle w:val="TableContents"/>
              <w:bidi w:val="0"/>
              <w:spacing w:before="0" w:after="283"/>
              <w:jc w:val="right"/>
              <w:rPr/>
            </w:pPr>
            <w:r>
              <w:rPr/>
              <w:t>20,368</w:t>
            </w:r>
          </w:p>
        </w:tc>
        <w:tc>
          <w:tcPr>
            <w:tcW w:w="278" w:type="dxa"/>
            <w:tcBorders/>
            <w:vAlign w:val="bottom"/>
          </w:tcPr>
          <w:p>
            <w:pPr>
              <w:pStyle w:val="TableContents"/>
              <w:bidi w:val="0"/>
              <w:spacing w:before="0" w:after="283"/>
              <w:jc w:val="left"/>
              <w:rPr/>
            </w:pPr>
            <w:r>
              <w:rPr/>
              <w:t> </w:t>
            </w:r>
          </w:p>
        </w:tc>
      </w:tr>
      <w:tr>
        <w:trPr/>
        <w:tc>
          <w:tcPr>
            <w:tcW w:w="2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478"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26,020</w:t>
            </w:r>
          </w:p>
        </w:tc>
        <w:tc>
          <w:tcPr>
            <w:tcW w:w="27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17,398</w:t>
            </w:r>
          </w:p>
        </w:tc>
        <w:tc>
          <w:tcPr>
            <w:tcW w:w="278" w:type="dxa"/>
            <w:tcBorders/>
            <w:shd w:fill="CCEEFF" w:val="clear"/>
            <w:vAlign w:val="bottom"/>
          </w:tcPr>
          <w:p>
            <w:pPr>
              <w:pStyle w:val="TableContents"/>
              <w:bidi w:val="0"/>
              <w:spacing w:before="0" w:after="283"/>
              <w:jc w:val="left"/>
              <w:rPr/>
            </w:pPr>
            <w:r>
              <w:rPr/>
              <w:t> </w:t>
            </w:r>
          </w:p>
        </w:tc>
      </w:tr>
      <w:tr>
        <w:trPr/>
        <w:tc>
          <w:tcPr>
            <w:tcW w:w="2835" w:type="dxa"/>
            <w:tcBorders/>
          </w:tcPr>
          <w:p>
            <w:pPr>
              <w:pStyle w:val="TableContents"/>
              <w:bidi w:val="0"/>
              <w:spacing w:before="0" w:after="0"/>
              <w:jc w:val="left"/>
              <w:rPr>
                <w:rFonts w:ascii="Times New Roman" w:hAnsi="Times New Roman"/>
                <w:b/>
                <w:sz w:val="20"/>
              </w:rPr>
            </w:pPr>
            <w:r>
              <w:rPr>
                <w:rFonts w:ascii="Times New Roman" w:hAnsi="Times New Roman"/>
                <w:b/>
                <w:sz w:val="20"/>
              </w:rPr>
              <w:t>Lease term and Discount Rate</w:t>
            </w:r>
          </w:p>
        </w:tc>
        <w:tc>
          <w:tcPr>
            <w:tcW w:w="47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145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1452"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28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(years)</w:t>
            </w:r>
          </w:p>
        </w:tc>
        <w:tc>
          <w:tcPr>
            <w:tcW w:w="478"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9.21</w:t>
            </w:r>
          </w:p>
        </w:tc>
        <w:tc>
          <w:tcPr>
            <w:tcW w:w="27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0.67</w:t>
            </w:r>
          </w:p>
        </w:tc>
        <w:tc>
          <w:tcPr>
            <w:tcW w:w="278" w:type="dxa"/>
            <w:tcBorders/>
            <w:shd w:fill="CCEEFF" w:val="clear"/>
            <w:vAlign w:val="bottom"/>
          </w:tcPr>
          <w:p>
            <w:pPr>
              <w:pStyle w:val="TableContents"/>
              <w:bidi w:val="0"/>
              <w:spacing w:before="0" w:after="283"/>
              <w:jc w:val="left"/>
              <w:rPr/>
            </w:pPr>
            <w:r>
              <w:rPr/>
              <w:t> </w:t>
            </w:r>
          </w:p>
        </w:tc>
      </w:tr>
      <w:tr>
        <w:trPr/>
        <w:tc>
          <w:tcPr>
            <w:tcW w:w="283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478"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6.45</w:t>
            </w:r>
          </w:p>
        </w:tc>
        <w:tc>
          <w:tcPr>
            <w:tcW w:w="275"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9.02</w:t>
            </w:r>
          </w:p>
        </w:tc>
        <w:tc>
          <w:tcPr>
            <w:tcW w:w="278"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Variable lease costs are payments that vary because of changes in facts or circumstances and include common area maintenance and property taxes related to the premises. Variable lease costs are excluded from the calculation of minimum lease payments.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future minimum lease payments as of March 31, 2026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160"/>
        <w:gridCol w:w="260"/>
        <w:gridCol w:w="146"/>
        <w:gridCol w:w="1029"/>
        <w:gridCol w:w="160"/>
      </w:tblGrid>
      <w:tr>
        <w:trPr/>
        <w:tc>
          <w:tcPr>
            <w:tcW w:w="61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244,202</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322,641</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250,642</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255,655</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260,792</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sz w:val="20"/>
              </w:rPr>
            </w:pPr>
            <w:r>
              <w:rPr>
                <w:rFonts w:ascii="Times New Roman" w:hAnsi="Times New Roman"/>
                <w:sz w:val="20"/>
              </w:rPr>
              <w:t>2031</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261,652</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2032</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261,652</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sz w:val="20"/>
              </w:rPr>
            </w:pPr>
            <w:r>
              <w:rPr>
                <w:rFonts w:ascii="Times New Roman" w:hAnsi="Times New Roman"/>
                <w:sz w:val="20"/>
              </w:rPr>
              <w:t>2033</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261,652</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2034</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261,652</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sz w:val="20"/>
              </w:rPr>
            </w:pPr>
            <w:r>
              <w:rPr>
                <w:rFonts w:ascii="Times New Roman" w:hAnsi="Times New Roman"/>
                <w:sz w:val="20"/>
              </w:rPr>
              <w:t>2035</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261,652</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2036</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43,609</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undiscounted future minimum lease payments</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029" w:type="dxa"/>
            <w:tcBorders/>
            <w:vAlign w:val="bottom"/>
          </w:tcPr>
          <w:p>
            <w:pPr>
              <w:pStyle w:val="TableContents"/>
              <w:bidi w:val="0"/>
              <w:spacing w:before="0" w:after="283"/>
              <w:jc w:val="right"/>
              <w:rPr>
                <w:b/>
              </w:rPr>
            </w:pPr>
            <w:r>
              <w:rPr>
                <w:b/>
              </w:rPr>
              <w:t>2,685,801</w:t>
            </w:r>
          </w:p>
        </w:tc>
        <w:tc>
          <w:tcPr>
            <w:tcW w:w="160" w:type="dxa"/>
            <w:tcBorders/>
            <w:vAlign w:val="bottom"/>
          </w:tcPr>
          <w:p>
            <w:pPr>
              <w:pStyle w:val="TableContents"/>
              <w:bidi w:val="0"/>
              <w:spacing w:before="0" w:after="283"/>
              <w:jc w:val="left"/>
              <w:rPr/>
            </w:pPr>
            <w:r>
              <w:rPr/>
              <w:t> </w:t>
            </w:r>
          </w:p>
        </w:tc>
      </w:tr>
      <w:tr>
        <w:trPr/>
        <w:tc>
          <w:tcPr>
            <w:tcW w:w="6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(678,999</w:t>
            </w:r>
          </w:p>
        </w:tc>
        <w:tc>
          <w:tcPr>
            <w:tcW w:w="160" w:type="dxa"/>
            <w:tcBorders/>
            <w:shd w:fill="CCEEFF" w:val="clear"/>
            <w:vAlign w:val="bottom"/>
          </w:tcPr>
          <w:p>
            <w:pPr>
              <w:pStyle w:val="TableContents"/>
              <w:bidi w:val="0"/>
              <w:spacing w:before="0" w:after="283"/>
              <w:jc w:val="left"/>
              <w:rPr/>
            </w:pPr>
            <w:r>
              <w:rPr/>
              <w:t>) </w:t>
            </w:r>
          </w:p>
        </w:tc>
      </w:tr>
      <w:tr>
        <w:trPr/>
        <w:tc>
          <w:tcPr>
            <w:tcW w:w="61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60" w:type="dxa"/>
            <w:tcBorders/>
          </w:tcPr>
          <w:p>
            <w:pPr>
              <w:pStyle w:val="TableContents"/>
              <w:bidi w:val="0"/>
              <w:spacing w:before="0" w:after="0"/>
              <w:jc w:val="left"/>
              <w:rPr>
                <w:rFonts w:ascii="Times New Roman" w:hAnsi="Times New Roman"/>
                <w:b/>
                <w:sz w:val="20"/>
              </w:rPr>
            </w:pPr>
            <w:r>
              <w:rPr>
                <w:rFonts w:ascii="Times New Roman" w:hAnsi="Times New Roman"/>
                <w:b/>
                <w:sz w:val="20"/>
              </w:rPr>
              <w:t>Present value of lease liabilities at March 31, 2026</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029" w:type="dxa"/>
            <w:tcBorders/>
            <w:vAlign w:val="bottom"/>
          </w:tcPr>
          <w:p>
            <w:pPr>
              <w:pStyle w:val="TableContents"/>
              <w:bidi w:val="0"/>
              <w:spacing w:before="0" w:after="283"/>
              <w:jc w:val="right"/>
              <w:rPr>
                <w:b/>
              </w:rPr>
            </w:pPr>
            <w:r>
              <w:rPr>
                <w:b/>
              </w:rPr>
              <w:t>2,006,802</w:t>
            </w:r>
          </w:p>
        </w:tc>
        <w:tc>
          <w:tcPr>
            <w:tcW w:w="160" w:type="dxa"/>
            <w:tcBorders/>
            <w:vAlign w:val="bottom"/>
          </w:tcPr>
          <w:p>
            <w:pPr>
              <w:pStyle w:val="TableContents"/>
              <w:bidi w:val="0"/>
              <w:spacing w:before="0" w:after="283"/>
              <w:jc w:val="left"/>
              <w:rPr/>
            </w:pPr>
            <w:r>
              <w:rPr/>
              <w:t> </w:t>
            </w:r>
          </w:p>
        </w:tc>
      </w:tr>
      <w:tr>
        <w:trPr/>
        <w:tc>
          <w:tcPr>
            <w:tcW w:w="61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 LIABILITY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lease liability balance is comprised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90"/>
        <w:gridCol w:w="331"/>
        <w:gridCol w:w="140"/>
        <w:gridCol w:w="1052"/>
        <w:gridCol w:w="60"/>
        <w:gridCol w:w="331"/>
        <w:gridCol w:w="211"/>
        <w:gridCol w:w="1276"/>
        <w:gridCol w:w="64"/>
      </w:tblGrid>
      <w:tr>
        <w:trPr/>
        <w:tc>
          <w:tcPr>
            <w:tcW w:w="429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9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4" w:type="dxa"/>
            <w:tcBorders/>
            <w:vAlign w:val="bottom"/>
          </w:tcPr>
          <w:p>
            <w:pPr>
              <w:pStyle w:val="TableContents"/>
              <w:bidi w:val="0"/>
              <w:spacing w:before="0" w:after="283"/>
              <w:jc w:val="left"/>
              <w:rPr/>
            </w:pPr>
            <w:r>
              <w:rPr/>
              <w:t> </w:t>
            </w:r>
          </w:p>
        </w:tc>
      </w:tr>
      <w:tr>
        <w:trPr/>
        <w:tc>
          <w:tcPr>
            <w:tcW w:w="42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portion</w:t>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203,510</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78,452</w:t>
            </w:r>
          </w:p>
        </w:tc>
        <w:tc>
          <w:tcPr>
            <w:tcW w:w="64" w:type="dxa"/>
            <w:tcBorders/>
            <w:shd w:fill="CCEEFF" w:val="clear"/>
            <w:vAlign w:val="bottom"/>
          </w:tcPr>
          <w:p>
            <w:pPr>
              <w:pStyle w:val="TableContents"/>
              <w:bidi w:val="0"/>
              <w:spacing w:before="0" w:after="283"/>
              <w:jc w:val="left"/>
              <w:rPr/>
            </w:pPr>
            <w:r>
              <w:rPr/>
              <w:t> </w:t>
            </w:r>
          </w:p>
        </w:tc>
      </w:tr>
      <w:tr>
        <w:trPr/>
        <w:tc>
          <w:tcPr>
            <w:tcW w:w="4290"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portion</w:t>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1,803,292</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75,910</w:t>
            </w:r>
          </w:p>
        </w:tc>
        <w:tc>
          <w:tcPr>
            <w:tcW w:w="64" w:type="dxa"/>
            <w:tcBorders/>
            <w:vAlign w:val="bottom"/>
          </w:tcPr>
          <w:p>
            <w:pPr>
              <w:pStyle w:val="TableContents"/>
              <w:bidi w:val="0"/>
              <w:spacing w:before="0" w:after="283"/>
              <w:jc w:val="left"/>
              <w:rPr/>
            </w:pPr>
            <w:r>
              <w:rPr/>
              <w:t> </w:t>
            </w:r>
          </w:p>
        </w:tc>
      </w:tr>
      <w:tr>
        <w:trPr/>
        <w:tc>
          <w:tcPr>
            <w:tcW w:w="4290"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90" w:type="dxa"/>
            <w:tcBorders/>
            <w:shd w:fill="CCEEFF" w:val="clear"/>
            <w:vAlign w:val="bottom"/>
          </w:tcPr>
          <w:p>
            <w:pPr>
              <w:pStyle w:val="TableContents"/>
              <w:bidi w:val="0"/>
              <w:spacing w:before="0" w:after="283"/>
              <w:jc w:val="left"/>
              <w:rPr>
                <w:sz w:val="4"/>
                <w:szCs w:val="4"/>
              </w:rPr>
            </w:pPr>
            <w:r>
              <w:rPr>
                <w:sz w:val="4"/>
                <w:szCs w:val="4"/>
              </w:rPr>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52" w:type="dxa"/>
            <w:tcBorders/>
            <w:shd w:fill="CCEEFF" w:val="clear"/>
            <w:vAlign w:val="bottom"/>
          </w:tcPr>
          <w:p>
            <w:pPr>
              <w:pStyle w:val="TableContents"/>
              <w:bidi w:val="0"/>
              <w:spacing w:before="0" w:after="283"/>
              <w:jc w:val="right"/>
              <w:rPr>
                <w:b/>
              </w:rPr>
            </w:pPr>
            <w:r>
              <w:rPr>
                <w:b/>
              </w:rPr>
              <w:t>2,006,802</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1276" w:type="dxa"/>
            <w:tcBorders/>
            <w:shd w:fill="CCEEFF" w:val="clear"/>
            <w:vAlign w:val="bottom"/>
          </w:tcPr>
          <w:p>
            <w:pPr>
              <w:pStyle w:val="TableContents"/>
              <w:bidi w:val="0"/>
              <w:spacing w:before="0" w:after="283"/>
              <w:jc w:val="right"/>
              <w:rPr>
                <w:b/>
              </w:rPr>
            </w:pPr>
            <w:r>
              <w:rPr>
                <w:b/>
              </w:rPr>
              <w:t>154,362</w:t>
            </w:r>
          </w:p>
        </w:tc>
        <w:tc>
          <w:tcPr>
            <w:tcW w:w="64" w:type="dxa"/>
            <w:tcBorders/>
            <w:shd w:fill="CCEEFF" w:val="clear"/>
            <w:vAlign w:val="bottom"/>
          </w:tcPr>
          <w:p>
            <w:pPr>
              <w:pStyle w:val="TableContents"/>
              <w:bidi w:val="0"/>
              <w:spacing w:before="0" w:after="283"/>
              <w:jc w:val="left"/>
              <w:rPr/>
            </w:pPr>
            <w:r>
              <w:rPr/>
              <w:t> </w:t>
            </w:r>
          </w:p>
        </w:tc>
      </w:tr>
      <w:tr>
        <w:trPr/>
        <w:tc>
          <w:tcPr>
            <w:tcW w:w="4290"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the Company subleased approximately 616 square feet office space with amounts totaling $7,176 for the three months ended March 31, 2026 ($6,833 – three months ended March 31, 2025) being recorded as a reduction to general and administrative and 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2026, the Company subleased approximately 764 square feet laboratory space with amounts totaling $2,781 for the three months ended March, 2025 ($nil – three months ended March 31, 2025) being recorded as a reduction of to general and administrative expenses and to research and development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AURITEC LICENSE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Eupraxia Pharmaceuticals USA LLC (“Eupraxia LLC”) entered into an amended and restated license agreement with Auritec Pharmaceuticals Inc. (“Auritec”) on October 9, 2018 (as further amended, the “Amended and Restated License Agreement”). Under the terms of the Amended and Restated License Agreement, Auritec has granted Eupraxia LLC an exclusive license (including the right to sublicense to its affiliates and third parties) under the licensed patents held by Auritec and for all the technical information and know-how relating to the technology claimed in the licensed patents held by Auritec with respect to the use of Auritec’s “Plexis Platform” for the delivery of fluticasone in all medical fields (except for otolaryngology and the prevention, treatment and control of all diseases, disorders and conditions of the eye and its adnexa (collectively, the “Excluded Fields”)), to develop, make, have made, manufacture, use, commercialize, sell, sub-license, offer for sale, import, and have imported products for the delivery of fluticasone drug products using the Plexis Platform in all medical fields except the Excluded Fields (“Licensed Products”).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Amended and Restated License Agreement, Eupraxia USA LLC has paid $5,000,000 to Auritec (the “Upfront Fee”). In addition, Eupraxia LLC has agreed to pay Auritec up to $30,000,000 upon achievement of certain regulatory and commercial milestones related to products licensed under the Amended and Restated License Agreement (“Licensed Products”) as well as a royalty of 4% of net sales of Licensed Products by Eupraxia LLC or its affiliates, subject to certain reductions.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remaining milestone payment schedule. During the year ended December 31, 2024, the Company paid $5,000,000 to Auritec upon successful completion of the Phase 2b study. No further milestones have been completed. The Company’s EP-104GI program would meet the definition of a Non-OA Indication as referenced in the Milestone Events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AURITEC LICENSE AGREEMENT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18"/>
        <w:gridCol w:w="460"/>
        <w:gridCol w:w="220"/>
        <w:gridCol w:w="1795"/>
        <w:gridCol w:w="62"/>
      </w:tblGrid>
      <w:tr>
        <w:trPr/>
        <w:tc>
          <w:tcPr>
            <w:tcW w:w="5218"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Milestone Event</w:t>
            </w:r>
          </w:p>
        </w:tc>
        <w:tc>
          <w:tcPr>
            <w:tcW w:w="460"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Milestone Payment</w:t>
            </w:r>
          </w:p>
        </w:tc>
        <w:tc>
          <w:tcPr>
            <w:tcW w:w="62" w:type="dxa"/>
            <w:tcBorders/>
            <w:vAlign w:val="bottom"/>
          </w:tcPr>
          <w:p>
            <w:pPr>
              <w:pStyle w:val="TableContents"/>
              <w:bidi w:val="0"/>
              <w:spacing w:before="0" w:after="283"/>
              <w:jc w:val="left"/>
              <w:rPr/>
            </w:pPr>
            <w:r>
              <w:rPr/>
              <w:t> </w:t>
            </w:r>
          </w:p>
        </w:tc>
      </w:tr>
      <w:tr>
        <w:trPr/>
        <w:tc>
          <w:tcPr>
            <w:tcW w:w="5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OA Regulatory Approval</w:t>
            </w:r>
          </w:p>
        </w:tc>
        <w:tc>
          <w:tcPr>
            <w:tcW w:w="4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5,000,000</w:t>
            </w:r>
          </w:p>
        </w:tc>
        <w:tc>
          <w:tcPr>
            <w:tcW w:w="62" w:type="dxa"/>
            <w:tcBorders/>
            <w:shd w:fill="CCEEFF" w:val="clear"/>
            <w:vAlign w:val="bottom"/>
          </w:tcPr>
          <w:p>
            <w:pPr>
              <w:pStyle w:val="TableContents"/>
              <w:bidi w:val="0"/>
              <w:spacing w:before="0" w:after="283"/>
              <w:jc w:val="left"/>
              <w:rPr/>
            </w:pPr>
            <w:r>
              <w:rPr/>
              <w:t> </w:t>
            </w:r>
          </w:p>
        </w:tc>
      </w:tr>
      <w:tr>
        <w:trPr/>
        <w:tc>
          <w:tcPr>
            <w:tcW w:w="5218" w:type="dxa"/>
            <w:tcBorders/>
          </w:tcPr>
          <w:p>
            <w:pPr>
              <w:pStyle w:val="TableContents"/>
              <w:bidi w:val="0"/>
              <w:spacing w:before="0" w:after="0"/>
              <w:jc w:val="left"/>
              <w:rPr>
                <w:rFonts w:ascii="Times New Roman" w:hAnsi="Times New Roman"/>
                <w:sz w:val="20"/>
              </w:rPr>
            </w:pPr>
            <w:r>
              <w:rPr>
                <w:rFonts w:ascii="Times New Roman" w:hAnsi="Times New Roman"/>
                <w:sz w:val="20"/>
              </w:rPr>
              <w:t>Second OA Regulatory Approval</w:t>
            </w:r>
          </w:p>
        </w:tc>
        <w:tc>
          <w:tcPr>
            <w:tcW w:w="4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5,000,000</w:t>
            </w:r>
          </w:p>
        </w:tc>
        <w:tc>
          <w:tcPr>
            <w:tcW w:w="62" w:type="dxa"/>
            <w:tcBorders/>
            <w:vAlign w:val="bottom"/>
          </w:tcPr>
          <w:p>
            <w:pPr>
              <w:pStyle w:val="TableContents"/>
              <w:bidi w:val="0"/>
              <w:spacing w:before="0" w:after="283"/>
              <w:jc w:val="left"/>
              <w:rPr/>
            </w:pPr>
            <w:r>
              <w:rPr/>
              <w:t> </w:t>
            </w:r>
          </w:p>
        </w:tc>
      </w:tr>
      <w:tr>
        <w:trPr/>
        <w:tc>
          <w:tcPr>
            <w:tcW w:w="5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Non-OA Indication Regulatory Approval</w:t>
            </w:r>
          </w:p>
        </w:tc>
        <w:tc>
          <w:tcPr>
            <w:tcW w:w="4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95" w:type="dxa"/>
            <w:tcBorders/>
            <w:shd w:fill="CCEEFF" w:val="clear"/>
            <w:vAlign w:val="bottom"/>
          </w:tcPr>
          <w:p>
            <w:pPr>
              <w:pStyle w:val="TableContents"/>
              <w:bidi w:val="0"/>
              <w:spacing w:before="0" w:after="283"/>
              <w:jc w:val="right"/>
              <w:rPr/>
            </w:pPr>
            <w:r>
              <w:rPr/>
              <w:t>10,000,000</w:t>
            </w:r>
          </w:p>
        </w:tc>
        <w:tc>
          <w:tcPr>
            <w:tcW w:w="62" w:type="dxa"/>
            <w:tcBorders/>
            <w:shd w:fill="CCEEFF" w:val="clear"/>
            <w:vAlign w:val="bottom"/>
          </w:tcPr>
          <w:p>
            <w:pPr>
              <w:pStyle w:val="TableContents"/>
              <w:bidi w:val="0"/>
              <w:spacing w:before="0" w:after="283"/>
              <w:jc w:val="left"/>
              <w:rPr/>
            </w:pPr>
            <w:r>
              <w:rPr/>
              <w:t> </w:t>
            </w:r>
          </w:p>
        </w:tc>
      </w:tr>
      <w:tr>
        <w:trPr/>
        <w:tc>
          <w:tcPr>
            <w:tcW w:w="5218" w:type="dxa"/>
            <w:tcBorders/>
          </w:tcPr>
          <w:p>
            <w:pPr>
              <w:pStyle w:val="TableContents"/>
              <w:bidi w:val="0"/>
              <w:spacing w:before="0" w:after="0"/>
              <w:jc w:val="left"/>
              <w:rPr>
                <w:rFonts w:ascii="Times New Roman" w:hAnsi="Times New Roman"/>
                <w:sz w:val="20"/>
              </w:rPr>
            </w:pPr>
            <w:r>
              <w:rPr>
                <w:rFonts w:ascii="Times New Roman" w:hAnsi="Times New Roman"/>
                <w:sz w:val="20"/>
              </w:rPr>
              <w:t>First calendar year in which aggregate Net Sales by Eupraxia USA, its affiliates and sublicenses exceed $500,000,000</w:t>
            </w:r>
          </w:p>
        </w:tc>
        <w:tc>
          <w:tcPr>
            <w:tcW w:w="4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95" w:type="dxa"/>
            <w:tcBorders/>
            <w:vAlign w:val="bottom"/>
          </w:tcPr>
          <w:p>
            <w:pPr>
              <w:pStyle w:val="TableContents"/>
              <w:bidi w:val="0"/>
              <w:spacing w:before="0" w:after="283"/>
              <w:jc w:val="right"/>
              <w:rPr/>
            </w:pPr>
            <w:r>
              <w:rPr/>
              <w:t>5,000,000</w:t>
            </w:r>
          </w:p>
        </w:tc>
        <w:tc>
          <w:tcPr>
            <w:tcW w:w="62" w:type="dxa"/>
            <w:tcBorders/>
            <w:vAlign w:val="bottom"/>
          </w:tcPr>
          <w:p>
            <w:pPr>
              <w:pStyle w:val="TableContents"/>
              <w:bidi w:val="0"/>
              <w:spacing w:before="0" w:after="283"/>
              <w:jc w:val="left"/>
              <w:rPr/>
            </w:pPr>
            <w:r>
              <w:rPr/>
              <w:t> </w:t>
            </w:r>
          </w:p>
        </w:tc>
      </w:tr>
      <w:tr>
        <w:trPr/>
        <w:tc>
          <w:tcPr>
            <w:tcW w:w="5218"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79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Maximum amount payable</w:t>
            </w:r>
          </w:p>
        </w:tc>
        <w:tc>
          <w:tcPr>
            <w:tcW w:w="4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795" w:type="dxa"/>
            <w:tcBorders/>
            <w:shd w:fill="CCEEFF" w:val="clear"/>
            <w:vAlign w:val="bottom"/>
          </w:tcPr>
          <w:p>
            <w:pPr>
              <w:pStyle w:val="TableContents"/>
              <w:bidi w:val="0"/>
              <w:spacing w:before="0" w:after="283"/>
              <w:jc w:val="right"/>
              <w:rPr>
                <w:b/>
              </w:rPr>
            </w:pPr>
            <w:r>
              <w:rPr>
                <w:b/>
              </w:rPr>
              <w:t>25,000,000</w:t>
            </w:r>
          </w:p>
        </w:tc>
        <w:tc>
          <w:tcPr>
            <w:tcW w:w="62" w:type="dxa"/>
            <w:tcBorders/>
            <w:shd w:fill="CCEEFF" w:val="clear"/>
            <w:vAlign w:val="bottom"/>
          </w:tcPr>
          <w:p>
            <w:pPr>
              <w:pStyle w:val="TableContents"/>
              <w:bidi w:val="0"/>
              <w:spacing w:before="0" w:after="283"/>
              <w:jc w:val="left"/>
              <w:rPr/>
            </w:pPr>
            <w:r>
              <w:rPr/>
              <w:t> </w:t>
            </w:r>
          </w:p>
        </w:tc>
      </w:tr>
      <w:tr>
        <w:trPr/>
        <w:tc>
          <w:tcPr>
            <w:tcW w:w="5218"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79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Eupraxia LLC also agreed to pay to Auritec 20% of sublicensing royalties or other consideration based on net sales of Licensed Products. Eupraxia LLC further agreed to pay Auritec a percentage of Non-Royalty Monetization Revenue (as defined in the Amended and Restated License Agreement), which includes payments received for a sale of Eupraxia LLC or sale or sublicense of a Licensed Product, which percentage ranges from 10% to 30% depending on the development stage of the most-advanced Licensed Product, up to a maximum of $100,000,000. The following table summarizes the Non-Royalty Monetization Revenue percentage schedule: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0"/>
        <w:gridCol w:w="1094"/>
        <w:gridCol w:w="518"/>
        <w:gridCol w:w="2247"/>
        <w:gridCol w:w="276"/>
      </w:tblGrid>
      <w:tr>
        <w:trPr/>
        <w:tc>
          <w:tcPr>
            <w:tcW w:w="3620" w:type="dxa"/>
            <w:tcBorders/>
            <w:vAlign w:val="center"/>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Execution</w:t>
            </w:r>
          </w:p>
        </w:tc>
        <w:tc>
          <w:tcPr>
            <w:tcW w:w="1094" w:type="dxa"/>
            <w:tcBorders/>
            <w:vAlign w:val="bottom"/>
          </w:tcPr>
          <w:p>
            <w:pPr>
              <w:pStyle w:val="TableContents"/>
              <w:bidi w:val="0"/>
              <w:spacing w:before="0" w:after="283"/>
              <w:jc w:val="left"/>
              <w:rPr/>
            </w:pPr>
            <w:r>
              <w:rPr/>
              <w:t>  </w:t>
            </w:r>
          </w:p>
        </w:tc>
        <w:tc>
          <w:tcPr>
            <w:tcW w:w="27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Non-Royalty</w:t>
              <w:br/>
              <w:t>Monetization Revenue</w:t>
            </w:r>
          </w:p>
        </w:tc>
        <w:tc>
          <w:tcPr>
            <w:tcW w:w="276"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Prior to Successful Completion of a Phase 2b Study</w:t>
            </w:r>
          </w:p>
        </w:tc>
        <w:tc>
          <w:tcPr>
            <w:tcW w:w="109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47" w:type="dxa"/>
            <w:tcBorders/>
            <w:shd w:fill="CCEEFF" w:val="clear"/>
            <w:vAlign w:val="bottom"/>
          </w:tcPr>
          <w:p>
            <w:pPr>
              <w:pStyle w:val="TableContents"/>
              <w:bidi w:val="0"/>
              <w:spacing w:before="0" w:after="283"/>
              <w:jc w:val="right"/>
              <w:rPr/>
            </w:pPr>
            <w:r>
              <w:rPr/>
              <w:t>30</w:t>
            </w:r>
          </w:p>
        </w:tc>
        <w:tc>
          <w:tcPr>
            <w:tcW w:w="276" w:type="dxa"/>
            <w:tcBorders/>
            <w:shd w:fill="CCEEFF" w:val="clear"/>
            <w:vAlign w:val="bottom"/>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After Successful Completion of a Phase 2b Study but prior to Successful Completion of a Phase 3 Study</w:t>
            </w:r>
          </w:p>
        </w:tc>
        <w:tc>
          <w:tcPr>
            <w:tcW w:w="1094"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After Successful Completion of a Phase 3 Study but prior to Regulatory Approval of a Product in the Eupraxia Field from FDA in the United States</w:t>
            </w:r>
          </w:p>
        </w:tc>
        <w:tc>
          <w:tcPr>
            <w:tcW w:w="109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47" w:type="dxa"/>
            <w:tcBorders/>
            <w:shd w:fill="CCEEFF" w:val="clear"/>
            <w:vAlign w:val="bottom"/>
          </w:tcPr>
          <w:p>
            <w:pPr>
              <w:pStyle w:val="TableContents"/>
              <w:bidi w:val="0"/>
              <w:spacing w:before="0" w:after="283"/>
              <w:jc w:val="right"/>
              <w:rPr/>
            </w:pPr>
            <w:r>
              <w:rPr/>
              <w:t>15</w:t>
            </w:r>
          </w:p>
        </w:tc>
        <w:tc>
          <w:tcPr>
            <w:tcW w:w="276" w:type="dxa"/>
            <w:tcBorders/>
            <w:shd w:fill="CCEEFF" w:val="clear"/>
            <w:vAlign w:val="bottom"/>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After Regulatory Approval of a Product in the Eupraxia Field from FDA in the United States</w:t>
            </w:r>
          </w:p>
        </w:tc>
        <w:tc>
          <w:tcPr>
            <w:tcW w:w="1094"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right"/>
              <w:rPr/>
            </w:pPr>
            <w:r>
              <w:rPr/>
              <w:t>10</w:t>
            </w:r>
          </w:p>
        </w:tc>
        <w:tc>
          <w:tcPr>
            <w:tcW w:w="276"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Either party may terminate the Amended and Restated License Agreement in the event of the other party’s bankruptcy, liquidation, or dissolution. Auritec may also terminate upon a material breach of the Amended and Restated License Agreement by Eupraxia LLC that is not cured within 60 days (15 days in the case of a payment breach). Further, if Eupraxia LLC directly or indirectly challenges any claim in any Auritec patent licensed under the Amended and Restated License Agreement, or assist a third party in doing so, Auritec may immediately terminate the Amended and Restated License Agreement. If Auritec directly or indirectly challenges any Eupraxia patent contemplated in the Amended and Restated License Agreement other than as reasonably required to defend Auritec patents as a basis for such challenge, or assists a third party in doing so, Eupraxia LLC may immediately terminate the Amended and Restated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0"/>
        <w:gridCol w:w="8887"/>
      </w:tblGrid>
      <w:tr>
        <w:trPr/>
        <w:tc>
          <w:tcPr>
            <w:tcW w:w="918" w:type="dxa"/>
            <w:tcBorders/>
            <w:vAlign w:val="center"/>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w:t>
            </w:r>
          </w:p>
        </w:tc>
        <w:tc>
          <w:tcPr>
            <w:tcW w:w="88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unlimited number of Common shares, with no par value, with one vote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0"/>
        <w:gridCol w:w="8887"/>
      </w:tblGrid>
      <w:tr>
        <w:trPr/>
        <w:tc>
          <w:tcPr>
            <w:tcW w:w="918" w:type="dxa"/>
            <w:tcBorders/>
            <w:vAlign w:val="center"/>
          </w:tcPr>
          <w:p>
            <w:pPr>
              <w:pStyle w:val="TableContents"/>
              <w:bidi w:val="0"/>
              <w:spacing w:before="0" w:after="283"/>
              <w:jc w:val="left"/>
              <w:rPr/>
            </w:pPr>
            <w:r>
              <w:rPr/>
              <w:t> </w:t>
            </w:r>
          </w:p>
        </w:tc>
        <w:tc>
          <w:tcPr>
            <w:tcW w:w="400" w:type="dxa"/>
            <w:tcBorders/>
          </w:tcPr>
          <w:p>
            <w:pPr>
              <w:pStyle w:val="TableContents"/>
              <w:bidi w:val="0"/>
              <w:spacing w:before="0" w:after="283"/>
              <w:jc w:val="left"/>
              <w:rPr/>
            </w:pPr>
            <w:r>
              <w:rPr/>
              <w:t></w:t>
            </w:r>
          </w:p>
        </w:tc>
        <w:tc>
          <w:tcPr>
            <w:tcW w:w="88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unlimited number of Preferred shares, with no par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(Common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Capital transactions (Common shares) which took place during the three months ended March 31, 2025,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5"/>
        <w:gridCol w:w="8884"/>
      </w:tblGrid>
      <w:tr>
        <w:trPr/>
        <w:tc>
          <w:tcPr>
            <w:tcW w:w="916"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i)</w:t>
            </w:r>
          </w:p>
        </w:tc>
        <w:tc>
          <w:tcPr>
            <w:tcW w:w="88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March 31, 2025, 200,000 common shares were issued on the exercise of warrants for gross proceeds of $416,406. The weighted average share price during the period in which these warrants were exercised was CDN$6.06. On exercise, $41,641 was transferred from additional paid-in capital to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March 31, 2025, 7,750 common shares were issued on the exercise of options for gross proceeds of $13,517. The weighted average share price during the period in which these options were exercised was CDN$4.91. On exercise, $8,658 was transferred from additional paid-in capital to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Capital transactions (Common shares) which took place during the three months ended March 31, 2026,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March 31, 2026, 36,000 common shares were issued on the exercise of options for gross proceeds of $113,855. The weighted average share price during the period in which these options were exercised was CDN$4.34. On exercise, $75,945 was transferred from additional paid-in capital to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March 31, 2026, 2,226,279 common shares were issued on the exercise of warrants for gross proceeds of $9,834,232. The weighted average share price during the period in which these warrants were exercised was CDN$6.03. On exercise, $701,438 was transferred from additional paid-in capital to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20, 2026, the Company closed an overnight marketed public offering (the “Offering”). Pursuant to the Offering, the Company issued 7,607,145 common shares at a price of $7.00 and pre-funded warrants to purchase up to 1,428,571 common shares at price of price of $6.99999 for total gross proceeds of $63,249,998.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consideration for the services rendered by the Underwriter in connection with the Offering, the Company paid the Underwriters a cash commission of $3,795,001 which is equal to $0.42 per share or pre-funded warrant issued under the Offering. An additional $200,000 in legal and agents’ expenses were also paid to the Underwriters. The Company incurred an additional $620,102 in share issuance costs associated with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(Preferred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31, 2024, the Company issued convertible preferred shares in a non-brokered private placement. Pursuant to the Convertible Preferred Share Offering, the Company issued 8,905,638 convertible preferred shares (“Preferred Shares”) at a price of CDN$5.00 for aggregate gross proceeds of $31,997,837 (CDN$44,528,190). </w:t>
      </w:r>
    </w:p>
    <w:p>
      <w:pPr>
        <w:pStyle w:val="TextBody"/>
        <w:bidi w:val="0"/>
        <w:spacing w:before="120" w:after="0"/>
        <w:jc w:val="left"/>
        <w:rPr>
          <w:rFonts w:ascii="Times New Roman" w:hAnsi="Times New Roman"/>
          <w:sz w:val="20"/>
        </w:rPr>
      </w:pPr>
      <w:r>
        <w:rPr>
          <w:rFonts w:ascii="Times New Roman" w:hAnsi="Times New Roman"/>
          <w:sz w:val="20"/>
        </w:rPr>
        <w:t xml:space="preserve">The Company paid $242,116 (CDN$336,928) in legal expenses and an additional $50,502 ($70,279) in listing fees were paid in association with the Preferred Share Offering. Each Preferred Share is convertible at the option of the holder at any time into one common share without additional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Shares would also mandatorily convert into common shares on a one-to-one basis, without additional consideration, upon the earliest of: (i) the common shares of the Company trade at a price of $15.00 per common share on the Toronto Stock Exchange or the Nasdaq Stock Market LLC based on an average daily trading volume of at least 50,000 common shares during the rolling six-month period, or (ii) the holders of the Preferred Shares representing 75% of the outstanding Preferred Shares vote or consent to convert all outstanding Preferred Shares, in the event a liquidating event such as an amalgamation, arrangement, merger, reorganization or similar transaction occurs, provided that the conversion ratio will not be adjusted unless the Company receives all necessary TSX and shareholder approvals.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Shares have a redemption feature that is subject to the occurrence of certain events, all of which are in the control of the Company. Accordingly, the Preferred Shares are classified as permanent equity.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Shares will not initially be entitled to any dividends. Following the third anniversary of closing of the Private Placement, and subject to shareholder approval, any unconverted Preferred Shares will be entitled to a quarterly dividend equal to 1.5% (6% annually) of the original issue price, payable in additional Preferred Shares (the “PIK Preferred Shares”). If shareholder approval for the PIK Preferred Shares is not obtained by the third anniversary of closing, the quarterly dividends will be paid in cash at a rate of 2% (8% annually). No dividends will be payable on Common Shares while any Preferred Shares remain issued and outstanding. The Preferred Shares were not issued at a discount, so the impact of this feature is limited to the amounts allocable to common shareholders in calculating earnings per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2025 Omnibus Incentive Plan (the “Omnibus Plan”), initially approved by the Board of Directors on February 17, 2025 (later amended on April 25, 2025) was ratified by Shareholders on June 2, 2025. The Omnibus Plan provides for the grant of options, stock appreciation rights, restricted stock, restricted stock units, deferred stock units, performance awards, other stock-based awards and cash-based awards (each an “Award” and collectively, the “Awards”) at the discretion of the Board of Directors. The number of Common Shares available for issuance under the Omnibus Plan is a rolling maximum number equal to 18.5% of the issued and outstanding Common Shares. The Omnibus Plan is considered to be an “evergreen” plan as Common Shares covered by Awards which have been exercised or settled, as applicable, will be available for subsequent grant under the Omnibus Plan and the number of Awards that may be granted under the Omnibus Plan increases if the total number of issued and outstanding Common Shares increases.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Options granted under the Omnibus Plan have lives of up to ten years from the date of grant. The vesting schedule of all granted options is determined at the discretion of the Board. Unless otherwise determined by the Board, in its sole discretion, all grants of options will vest either immediately or over a three-year period, with the first twenty-five percent (25%) of the Options vesting on the date of grant, and the remaining options vesting over the following thirty-six-month period in three equal instalments on an annual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 Re-Pricing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25, 2025, the Board approved (with Shareholders ratifying on June 2, 2025) the repricing of certain options (granted to non-executive employees and non-directors) totaling 258,450 (vested and unvested) with exercise prices ranging from CDN$6.75 to CDN$8.00 were repriced to CDN$5.05. All other terms of these stock option grants were unchanged. As a result of this repricing, the Company recognized additional share-based payments of $120,082 during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option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8"/>
        <w:gridCol w:w="462"/>
        <w:gridCol w:w="65"/>
        <w:gridCol w:w="1073"/>
        <w:gridCol w:w="155"/>
        <w:gridCol w:w="426"/>
        <w:gridCol w:w="521"/>
        <w:gridCol w:w="1630"/>
        <w:gridCol w:w="65"/>
      </w:tblGrid>
      <w:tr>
        <w:trPr/>
        <w:tc>
          <w:tcPr>
            <w:tcW w:w="3358"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58"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Options</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2151" w:type="dxa"/>
            <w:gridSpan w:val="2"/>
            <w:tcBorders>
              <w:bottom w:val="single" w:sz="8" w:space="0" w:color="000000"/>
            </w:tcBorders>
            <w:tcMar>
              <w:bottom w:w="28" w:type="dxa"/>
            </w:tcMar>
            <w:vAlign w:val="bottom"/>
          </w:tcPr>
          <w:p>
            <w:pPr>
              <w:pStyle w:val="TableContents"/>
              <w:bidi w:val="0"/>
              <w:spacing w:before="0" w:after="283"/>
              <w:jc w:val="center"/>
              <w:rPr/>
            </w:pPr>
            <w:r>
              <w:rPr>
                <w:b/>
              </w:rPr>
              <w:t>Weighted Average</w:t>
            </w:r>
            <w:r>
              <w:rPr/>
              <w:br/>
            </w:r>
            <w:r>
              <w:rPr>
                <w:b/>
              </w:rPr>
              <w:t>Exercise Price (CDN$)</w:t>
            </w:r>
          </w:p>
        </w:tc>
        <w:tc>
          <w:tcPr>
            <w:tcW w:w="65" w:type="dxa"/>
            <w:tcBorders/>
            <w:vAlign w:val="bottom"/>
          </w:tcPr>
          <w:p>
            <w:pPr>
              <w:pStyle w:val="TableContents"/>
              <w:bidi w:val="0"/>
              <w:spacing w:before="0" w:after="283"/>
              <w:jc w:val="left"/>
              <w:rPr/>
            </w:pPr>
            <w:r>
              <w:rPr/>
              <w:t> </w:t>
            </w:r>
          </w:p>
        </w:tc>
      </w:tr>
      <w:tr>
        <w:trPr/>
        <w:tc>
          <w:tcPr>
            <w:tcW w:w="335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2024</w:t>
            </w:r>
          </w:p>
        </w:tc>
        <w:tc>
          <w:tcPr>
            <w:tcW w:w="46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b/>
              </w:rPr>
            </w:pPr>
            <w:r>
              <w:rPr>
                <w:b/>
              </w:rPr>
              <w:t>5,307,870</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b/>
              </w:rPr>
            </w:pPr>
            <w:r>
              <w:rPr>
                <w:b/>
              </w:rPr>
              <w:t>$</w:t>
            </w:r>
          </w:p>
        </w:tc>
        <w:tc>
          <w:tcPr>
            <w:tcW w:w="1630" w:type="dxa"/>
            <w:tcBorders/>
            <w:shd w:fill="CCEEFF" w:val="clear"/>
            <w:vAlign w:val="bottom"/>
          </w:tcPr>
          <w:p>
            <w:pPr>
              <w:pStyle w:val="TableContents"/>
              <w:bidi w:val="0"/>
              <w:spacing w:before="0" w:after="283"/>
              <w:jc w:val="right"/>
              <w:rPr>
                <w:b/>
              </w:rPr>
            </w:pPr>
            <w:r>
              <w:rPr>
                <w:b/>
              </w:rPr>
              <w:t>5.50</w:t>
            </w:r>
          </w:p>
        </w:tc>
        <w:tc>
          <w:tcPr>
            <w:tcW w:w="65" w:type="dxa"/>
            <w:tcBorders/>
            <w:shd w:fill="CCEEFF" w:val="clear"/>
            <w:vAlign w:val="bottom"/>
          </w:tcPr>
          <w:p>
            <w:pPr>
              <w:pStyle w:val="TableContents"/>
              <w:bidi w:val="0"/>
              <w:spacing w:before="0" w:after="283"/>
              <w:jc w:val="left"/>
              <w:rPr/>
            </w:pPr>
            <w:r>
              <w:rPr/>
              <w:t> </w:t>
            </w:r>
          </w:p>
        </w:tc>
      </w:tr>
      <w:tr>
        <w:trPr/>
        <w:tc>
          <w:tcPr>
            <w:tcW w:w="3358"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6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(186,340</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4.78</w:t>
            </w:r>
          </w:p>
        </w:tc>
        <w:tc>
          <w:tcPr>
            <w:tcW w:w="65" w:type="dxa"/>
            <w:tcBorders/>
            <w:vAlign w:val="bottom"/>
          </w:tcPr>
          <w:p>
            <w:pPr>
              <w:pStyle w:val="TableContents"/>
              <w:bidi w:val="0"/>
              <w:spacing w:before="0" w:after="283"/>
              <w:jc w:val="left"/>
              <w:rPr/>
            </w:pPr>
            <w:r>
              <w:rPr/>
              <w:t> </w:t>
            </w:r>
          </w:p>
        </w:tc>
      </w:tr>
      <w:tr>
        <w:trPr/>
        <w:tc>
          <w:tcPr>
            <w:tcW w:w="3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46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(763,375</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6.93</w:t>
            </w:r>
          </w:p>
        </w:tc>
        <w:tc>
          <w:tcPr>
            <w:tcW w:w="65" w:type="dxa"/>
            <w:tcBorders/>
            <w:shd w:fill="CCEEFF" w:val="clear"/>
            <w:vAlign w:val="bottom"/>
          </w:tcPr>
          <w:p>
            <w:pPr>
              <w:pStyle w:val="TableContents"/>
              <w:bidi w:val="0"/>
              <w:spacing w:before="0" w:after="283"/>
              <w:jc w:val="left"/>
              <w:rPr/>
            </w:pPr>
            <w:r>
              <w:rPr/>
              <w:t> </w:t>
            </w:r>
          </w:p>
        </w:tc>
      </w:tr>
      <w:tr>
        <w:trPr/>
        <w:tc>
          <w:tcPr>
            <w:tcW w:w="3358"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46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(238,750</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8.00</w:t>
            </w:r>
          </w:p>
        </w:tc>
        <w:tc>
          <w:tcPr>
            <w:tcW w:w="65" w:type="dxa"/>
            <w:tcBorders/>
            <w:vAlign w:val="bottom"/>
          </w:tcPr>
          <w:p>
            <w:pPr>
              <w:pStyle w:val="TableContents"/>
              <w:bidi w:val="0"/>
              <w:spacing w:before="0" w:after="283"/>
              <w:jc w:val="left"/>
              <w:rPr/>
            </w:pPr>
            <w:r>
              <w:rPr/>
              <w:t> </w:t>
            </w:r>
          </w:p>
        </w:tc>
      </w:tr>
      <w:tr>
        <w:trPr/>
        <w:tc>
          <w:tcPr>
            <w:tcW w:w="3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6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3,343,200</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7.13</w:t>
            </w:r>
          </w:p>
        </w:tc>
        <w:tc>
          <w:tcPr>
            <w:tcW w:w="65" w:type="dxa"/>
            <w:tcBorders/>
            <w:shd w:fill="CCEEFF" w:val="clear"/>
            <w:vAlign w:val="bottom"/>
          </w:tcPr>
          <w:p>
            <w:pPr>
              <w:pStyle w:val="TableContents"/>
              <w:bidi w:val="0"/>
              <w:spacing w:before="0" w:after="283"/>
              <w:jc w:val="left"/>
              <w:rPr/>
            </w:pPr>
            <w:r>
              <w:rPr/>
              <w:t> </w:t>
            </w:r>
          </w:p>
        </w:tc>
      </w:tr>
      <w:tr>
        <w:trPr/>
        <w:tc>
          <w:tcPr>
            <w:tcW w:w="335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521" w:type="dxa"/>
            <w:tcBorders/>
            <w:vAlign w:val="bottom"/>
          </w:tcPr>
          <w:p>
            <w:pPr>
              <w:pStyle w:val="TableContents"/>
              <w:pBdr>
                <w:top w:val="single" w:sz="2" w:space="1" w:color="000000"/>
              </w:pBdr>
              <w:bidi w:val="0"/>
              <w:spacing w:before="0" w:after="0"/>
              <w:jc w:val="left"/>
              <w:rPr/>
            </w:pPr>
            <w:r>
              <w:rPr/>
              <w:t> </w:t>
            </w:r>
          </w:p>
        </w:tc>
        <w:tc>
          <w:tcPr>
            <w:tcW w:w="163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5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46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b/>
              </w:rPr>
            </w:pPr>
            <w:r>
              <w:rPr>
                <w:b/>
              </w:rPr>
              <w:t>7,462,605</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b/>
              </w:rPr>
            </w:pPr>
            <w:r>
              <w:rPr>
                <w:b/>
              </w:rPr>
              <w:t>$</w:t>
            </w:r>
          </w:p>
        </w:tc>
        <w:tc>
          <w:tcPr>
            <w:tcW w:w="1630" w:type="dxa"/>
            <w:tcBorders/>
            <w:vAlign w:val="bottom"/>
          </w:tcPr>
          <w:p>
            <w:pPr>
              <w:pStyle w:val="TableContents"/>
              <w:bidi w:val="0"/>
              <w:spacing w:before="0" w:after="283"/>
              <w:jc w:val="right"/>
              <w:rPr>
                <w:b/>
              </w:rPr>
            </w:pPr>
            <w:r>
              <w:rPr>
                <w:b/>
              </w:rPr>
              <w:t>5.93</w:t>
            </w:r>
          </w:p>
        </w:tc>
        <w:tc>
          <w:tcPr>
            <w:tcW w:w="65" w:type="dxa"/>
            <w:tcBorders/>
            <w:vAlign w:val="bottom"/>
          </w:tcPr>
          <w:p>
            <w:pPr>
              <w:pStyle w:val="TableContents"/>
              <w:bidi w:val="0"/>
              <w:spacing w:before="0" w:after="283"/>
              <w:jc w:val="left"/>
              <w:rPr/>
            </w:pPr>
            <w:r>
              <w:rPr/>
              <w:t> </w:t>
            </w:r>
          </w:p>
        </w:tc>
      </w:tr>
      <w:tr>
        <w:trPr/>
        <w:tc>
          <w:tcPr>
            <w:tcW w:w="3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6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(36,000</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630" w:type="dxa"/>
            <w:tcBorders/>
            <w:shd w:fill="CCEEFF" w:val="clear"/>
            <w:vAlign w:val="bottom"/>
          </w:tcPr>
          <w:p>
            <w:pPr>
              <w:pStyle w:val="TableContents"/>
              <w:bidi w:val="0"/>
              <w:spacing w:before="0" w:after="283"/>
              <w:jc w:val="right"/>
              <w:rPr/>
            </w:pPr>
            <w:r>
              <w:rPr/>
              <w:t>4.43</w:t>
            </w:r>
          </w:p>
        </w:tc>
        <w:tc>
          <w:tcPr>
            <w:tcW w:w="65" w:type="dxa"/>
            <w:tcBorders/>
            <w:shd w:fill="CCEEFF" w:val="clear"/>
            <w:vAlign w:val="bottom"/>
          </w:tcPr>
          <w:p>
            <w:pPr>
              <w:pStyle w:val="TableContents"/>
              <w:bidi w:val="0"/>
              <w:spacing w:before="0" w:after="283"/>
              <w:jc w:val="left"/>
              <w:rPr/>
            </w:pPr>
            <w:r>
              <w:rPr/>
              <w:t> </w:t>
            </w:r>
          </w:p>
        </w:tc>
      </w:tr>
      <w:tr>
        <w:trPr/>
        <w:tc>
          <w:tcPr>
            <w:tcW w:w="335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6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121,350</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9.44</w:t>
            </w:r>
          </w:p>
        </w:tc>
        <w:tc>
          <w:tcPr>
            <w:tcW w:w="65" w:type="dxa"/>
            <w:tcBorders/>
            <w:vAlign w:val="bottom"/>
          </w:tcPr>
          <w:p>
            <w:pPr>
              <w:pStyle w:val="TableContents"/>
              <w:bidi w:val="0"/>
              <w:spacing w:before="0" w:after="283"/>
              <w:jc w:val="left"/>
              <w:rPr/>
            </w:pPr>
            <w:r>
              <w:rPr/>
              <w:t> </w:t>
            </w:r>
          </w:p>
        </w:tc>
      </w:tr>
      <w:tr>
        <w:trPr/>
        <w:tc>
          <w:tcPr>
            <w:tcW w:w="335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521" w:type="dxa"/>
            <w:tcBorders/>
            <w:vAlign w:val="bottom"/>
          </w:tcPr>
          <w:p>
            <w:pPr>
              <w:pStyle w:val="TableContents"/>
              <w:pBdr>
                <w:top w:val="single" w:sz="2" w:space="1" w:color="000000"/>
              </w:pBdr>
              <w:bidi w:val="0"/>
              <w:spacing w:before="0" w:after="0"/>
              <w:jc w:val="left"/>
              <w:rPr/>
            </w:pPr>
            <w:r>
              <w:rPr/>
              <w:t> </w:t>
            </w:r>
          </w:p>
        </w:tc>
        <w:tc>
          <w:tcPr>
            <w:tcW w:w="163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March 31, 2026</w:t>
            </w:r>
          </w:p>
        </w:tc>
        <w:tc>
          <w:tcPr>
            <w:tcW w:w="46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b/>
              </w:rPr>
            </w:pPr>
            <w:r>
              <w:rPr>
                <w:b/>
              </w:rPr>
              <w:t>7,547,955</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b/>
              </w:rPr>
            </w:pPr>
            <w:r>
              <w:rPr>
                <w:b/>
              </w:rPr>
              <w:t>$</w:t>
            </w:r>
          </w:p>
        </w:tc>
        <w:tc>
          <w:tcPr>
            <w:tcW w:w="1630" w:type="dxa"/>
            <w:tcBorders/>
            <w:shd w:fill="CCEEFF" w:val="clear"/>
            <w:vAlign w:val="bottom"/>
          </w:tcPr>
          <w:p>
            <w:pPr>
              <w:pStyle w:val="TableContents"/>
              <w:bidi w:val="0"/>
              <w:spacing w:before="0" w:after="283"/>
              <w:jc w:val="right"/>
              <w:rPr>
                <w:b/>
              </w:rPr>
            </w:pPr>
            <w:r>
              <w:rPr>
                <w:b/>
              </w:rPr>
              <w:t>6.00</w:t>
            </w:r>
          </w:p>
        </w:tc>
        <w:tc>
          <w:tcPr>
            <w:tcW w:w="65" w:type="dxa"/>
            <w:tcBorders/>
            <w:shd w:fill="CCEEFF" w:val="clear"/>
            <w:vAlign w:val="bottom"/>
          </w:tcPr>
          <w:p>
            <w:pPr>
              <w:pStyle w:val="TableContents"/>
              <w:bidi w:val="0"/>
              <w:spacing w:before="0" w:after="283"/>
              <w:jc w:val="left"/>
              <w:rPr/>
            </w:pPr>
            <w:r>
              <w:rPr/>
              <w:t> </w:t>
            </w:r>
          </w:p>
        </w:tc>
      </w:tr>
      <w:tr>
        <w:trPr/>
        <w:tc>
          <w:tcPr>
            <w:tcW w:w="335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521" w:type="dxa"/>
            <w:tcBorders/>
            <w:vAlign w:val="bottom"/>
          </w:tcPr>
          <w:p>
            <w:pPr>
              <w:pStyle w:val="TableContents"/>
              <w:pBdr>
                <w:top w:val="double" w:sz="6" w:space="1" w:color="000000"/>
              </w:pBdr>
              <w:bidi w:val="0"/>
              <w:spacing w:before="0" w:after="0"/>
              <w:jc w:val="left"/>
              <w:rPr/>
            </w:pPr>
            <w:r>
              <w:rPr/>
              <w:t> </w:t>
            </w:r>
          </w:p>
        </w:tc>
        <w:tc>
          <w:tcPr>
            <w:tcW w:w="163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Share-based payments for the three months ended March 31, 2026, was $1,286,166 (2025 - $1,493,407) (See Note 12 – General &amp; Administrative Expenses and Note 13 – Research &amp; Development Expenses for breakdown by function).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Options (continued)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8"/>
        <w:gridCol w:w="203"/>
        <w:gridCol w:w="78"/>
        <w:gridCol w:w="1331"/>
        <w:gridCol w:w="60"/>
        <w:gridCol w:w="203"/>
        <w:gridCol w:w="68"/>
        <w:gridCol w:w="1129"/>
        <w:gridCol w:w="60"/>
        <w:gridCol w:w="203"/>
        <w:gridCol w:w="294"/>
        <w:gridCol w:w="954"/>
        <w:gridCol w:w="59"/>
        <w:gridCol w:w="203"/>
        <w:gridCol w:w="60"/>
        <w:gridCol w:w="1369"/>
        <w:gridCol w:w="60"/>
        <w:gridCol w:w="203"/>
        <w:gridCol w:w="120"/>
        <w:gridCol w:w="1136"/>
        <w:gridCol w:w="64"/>
      </w:tblGrid>
      <w:tr>
        <w:trPr/>
        <w:tc>
          <w:tcPr>
            <w:tcW w:w="234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348"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Grant</w:t>
            </w:r>
          </w:p>
          <w:p>
            <w:pPr>
              <w:pStyle w:val="TableContents"/>
              <w:bidi w:val="0"/>
              <w:spacing w:before="0" w:after="20"/>
              <w:jc w:val="left"/>
              <w:rPr>
                <w:rFonts w:ascii="Times New Roman" w:hAnsi="Times New Roman"/>
                <w:b/>
                <w:sz w:val="16"/>
              </w:rPr>
            </w:pPr>
            <w:r>
              <w:rPr>
                <w:rFonts w:ascii="Times New Roman" w:hAnsi="Times New Roman"/>
                <w:b/>
                <w:sz w:val="16"/>
              </w:rPr>
              <w:t>Date</w:t>
            </w:r>
          </w:p>
        </w:tc>
        <w:tc>
          <w:tcPr>
            <w:tcW w:w="203"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br/>
              <w:t>Outstanding(1)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br/>
              <w:t>Exercisable</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w:t>
              <w:br/>
              <w:t>Price (CDN$)</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pPr>
            <w:r>
              <w:rPr>
                <w:b/>
              </w:rPr>
              <w:t>Expiry</w:t>
            </w:r>
            <w:r>
              <w:rPr/>
              <w:br/>
            </w:r>
            <w:r>
              <w:rPr>
                <w:b/>
              </w:rPr>
              <w:t>Date</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pPr>
            <w:r>
              <w:rPr>
                <w:b/>
              </w:rPr>
              <w:t>Remaining</w:t>
            </w:r>
            <w:r>
              <w:rPr/>
              <w:br/>
            </w:r>
            <w:r>
              <w:rPr>
                <w:b/>
              </w:rPr>
              <w:t>Contractual</w:t>
              <w:br/>
              <w:t>Life (years)</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 5, 2018</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293,500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293,500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8.00</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Mar 5, 2028</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1.93</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Mar 5, 2018</w:t>
            </w:r>
            <w:r>
              <w:rPr>
                <w:rFonts w:ascii="Times New Roman" w:hAnsi="Times New Roman"/>
                <w:b/>
                <w:sz w:val="20"/>
              </w:rPr>
              <w:t>(2)</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28,750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28,750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5.05</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Mar 5, 2028</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1.93</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 9, 2021</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521,250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521,250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8.00</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Mar. 9, 2031</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4.94</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Mar 9, 2021</w:t>
            </w:r>
            <w:r>
              <w:rPr>
                <w:rFonts w:ascii="Times New Roman" w:hAnsi="Times New Roman"/>
                <w:b/>
                <w:sz w:val="20"/>
              </w:rPr>
              <w:t xml:space="preserve">(2) </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103,750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103,750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5.05</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Mar. 9, 2031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4.94</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3, 2021</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257,000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257,000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8.00</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May 3, 2031</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5.09</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Dec 9, 2021</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60,000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60,000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2.02</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Dec 9, 2031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5.70</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 31, 2022</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330,990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330,990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1.90</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Mar 31, 2032</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6.01</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Dec 9, 2022</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674,300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674,300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3.85</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Dec 9, 2032</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6.70</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18, 2023</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135,000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6.84</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May 18, 2033</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7.14</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May 30, 2023</w:t>
            </w:r>
            <w:r>
              <w:rPr>
                <w:rFonts w:ascii="Times New Roman" w:hAnsi="Times New Roman"/>
                <w:b/>
                <w:sz w:val="20"/>
              </w:rPr>
              <w:t xml:space="preserve">(2) </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17,200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12,900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5.05</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May 30, 2033</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7.67</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 27, 2023</w:t>
            </w:r>
            <w:r>
              <w:rPr>
                <w:rFonts w:ascii="Times New Roman" w:hAnsi="Times New Roman"/>
                <w:b/>
                <w:sz w:val="20"/>
              </w:rPr>
              <w:t xml:space="preserve">(2) </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60,000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5.05</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Sep 27, 2033</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7.50</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May 13, 2024</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1,391,665</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889,600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3.96</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May 13, 2034</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8.12</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28, 2024</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3.82</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May 28, 2034</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8.16</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Aug 9, 2024</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70,000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45,000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3.48</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Aug 9, 2034</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8.36</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 10, 2024</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90,000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90,000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4.66</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Dec 10, 2034</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8.70</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Mar 25, 2025</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1,108,500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712,500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5.14</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Mar 25, 2035</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8.99</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 13, 2025</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311,250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213,750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5.42</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May 13, 2035</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9.12</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tcPr>
          <w:p>
            <w:pPr>
              <w:pStyle w:val="TableContents"/>
              <w:bidi w:val="0"/>
              <w:spacing w:before="0" w:after="0"/>
              <w:jc w:val="left"/>
              <w:rPr>
                <w:rFonts w:ascii="Times New Roman" w:hAnsi="Times New Roman"/>
                <w:sz w:val="20"/>
              </w:rPr>
            </w:pPr>
            <w:r>
              <w:rPr>
                <w:rFonts w:ascii="Times New Roman" w:hAnsi="Times New Roman"/>
                <w:sz w:val="20"/>
              </w:rPr>
              <w:t>Dec 15, 2025</w:t>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1,878,450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557,738</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54" w:type="dxa"/>
            <w:tcBorders/>
            <w:vAlign w:val="bottom"/>
          </w:tcPr>
          <w:p>
            <w:pPr>
              <w:pStyle w:val="TableContents"/>
              <w:bidi w:val="0"/>
              <w:spacing w:before="0" w:after="283"/>
              <w:jc w:val="right"/>
              <w:rPr/>
            </w:pPr>
            <w:r>
              <w:rPr/>
              <w:t>8.63</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Dec 15, 2035</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9.72</w:t>
            </w:r>
          </w:p>
        </w:tc>
        <w:tc>
          <w:tcPr>
            <w:tcW w:w="64" w:type="dxa"/>
            <w:tcBorders/>
            <w:vAlign w:val="bottom"/>
          </w:tcPr>
          <w:p>
            <w:pPr>
              <w:pStyle w:val="TableContents"/>
              <w:bidi w:val="0"/>
              <w:spacing w:before="0" w:after="283"/>
              <w:jc w:val="left"/>
              <w:rPr/>
            </w:pPr>
            <w:r>
              <w:rPr/>
              <w:t> </w:t>
            </w:r>
          </w:p>
        </w:tc>
      </w:tr>
      <w:tr>
        <w:trPr/>
        <w:tc>
          <w:tcPr>
            <w:tcW w:w="2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 27, 2026</w:t>
            </w:r>
          </w:p>
        </w:tc>
        <w:tc>
          <w:tcPr>
            <w:tcW w:w="20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121,350</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30,337</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54" w:type="dxa"/>
            <w:tcBorders/>
            <w:shd w:fill="CCEEFF" w:val="clear"/>
            <w:vAlign w:val="bottom"/>
          </w:tcPr>
          <w:p>
            <w:pPr>
              <w:pStyle w:val="TableContents"/>
              <w:bidi w:val="0"/>
              <w:spacing w:before="0" w:after="283"/>
              <w:jc w:val="right"/>
              <w:rPr/>
            </w:pPr>
            <w:r>
              <w:rPr/>
              <w:t>9.44</w:t>
            </w:r>
          </w:p>
        </w:tc>
        <w:tc>
          <w:tcPr>
            <w:tcW w:w="59"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Mar 27, 2036</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10.00</w:t>
            </w:r>
          </w:p>
        </w:tc>
        <w:tc>
          <w:tcPr>
            <w:tcW w:w="64" w:type="dxa"/>
            <w:tcBorders/>
            <w:shd w:fill="CCEEFF" w:val="clear"/>
            <w:vAlign w:val="bottom"/>
          </w:tcPr>
          <w:p>
            <w:pPr>
              <w:pStyle w:val="TableContents"/>
              <w:bidi w:val="0"/>
              <w:spacing w:before="0" w:after="283"/>
              <w:jc w:val="left"/>
              <w:rPr/>
            </w:pPr>
            <w:r>
              <w:rPr/>
              <w:t> </w:t>
            </w:r>
          </w:p>
        </w:tc>
      </w:tr>
      <w:tr>
        <w:trPr/>
        <w:tc>
          <w:tcPr>
            <w:tcW w:w="2348"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95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348"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b/>
              </w:rPr>
            </w:pPr>
            <w:r>
              <w:rPr>
                <w:b/>
              </w:rPr>
              <w:t>7,547,955</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b/>
              </w:rPr>
            </w:pPr>
            <w:r>
              <w:rPr>
                <w:b/>
              </w:rPr>
              <w:t>5,051,365</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b/>
              </w:rPr>
            </w:pPr>
            <w:r>
              <w:rPr>
                <w:b/>
              </w:rPr>
              <w:t>$</w:t>
            </w:r>
          </w:p>
        </w:tc>
        <w:tc>
          <w:tcPr>
            <w:tcW w:w="954" w:type="dxa"/>
            <w:tcBorders/>
            <w:vAlign w:val="bottom"/>
          </w:tcPr>
          <w:p>
            <w:pPr>
              <w:pStyle w:val="TableContents"/>
              <w:bidi w:val="0"/>
              <w:spacing w:before="0" w:after="283"/>
              <w:jc w:val="right"/>
              <w:rPr>
                <w:b/>
              </w:rPr>
            </w:pPr>
            <w:r>
              <w:rPr>
                <w:b/>
              </w:rPr>
              <w:t>6.00</w:t>
            </w:r>
          </w:p>
        </w:tc>
        <w:tc>
          <w:tcPr>
            <w:tcW w:w="5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b/>
              </w:rPr>
            </w:pPr>
            <w:r>
              <w:rPr>
                <w:b/>
              </w:rPr>
              <w:t>7.09</w:t>
            </w:r>
          </w:p>
        </w:tc>
        <w:tc>
          <w:tcPr>
            <w:tcW w:w="64" w:type="dxa"/>
            <w:tcBorders/>
            <w:vAlign w:val="bottom"/>
          </w:tcPr>
          <w:p>
            <w:pPr>
              <w:pStyle w:val="TableContents"/>
              <w:bidi w:val="0"/>
              <w:spacing w:before="0" w:after="283"/>
              <w:jc w:val="left"/>
              <w:rPr/>
            </w:pPr>
            <w:r>
              <w:rPr/>
              <w:t> </w:t>
            </w:r>
          </w:p>
        </w:tc>
      </w:tr>
      <w:tr>
        <w:trPr/>
        <w:tc>
          <w:tcPr>
            <w:tcW w:w="2348"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954"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granted prior to June 2, 2025 were granted under the Company’s former Employee Stock Option Plan (“ESOP”) which was replaced by Omnibus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were repriced to $5.05 effective June 2, 2025 (see Note 11(d)(ii) above for further details).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unrecognized stock-based compensation expense related to the non-vested stock options was $5,597,918, which is expected to be recognized over a weighted-average period of 2.57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Options (continued)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share-based compensation expense was determined based on the fair value of options at the date of measurement using the Black-Scholes option pricing model with the following weighted-average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01"/>
        <w:gridCol w:w="352"/>
        <w:gridCol w:w="140"/>
        <w:gridCol w:w="997"/>
        <w:gridCol w:w="275"/>
        <w:gridCol w:w="273"/>
        <w:gridCol w:w="140"/>
        <w:gridCol w:w="997"/>
        <w:gridCol w:w="280"/>
      </w:tblGrid>
      <w:tr>
        <w:trPr/>
        <w:tc>
          <w:tcPr>
            <w:tcW w:w="4301"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3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Options granted during the year ended</w:t>
            </w:r>
          </w:p>
        </w:tc>
        <w:tc>
          <w:tcPr>
            <w:tcW w:w="352"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27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280"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0.00</w:t>
            </w:r>
          </w:p>
        </w:tc>
        <w:tc>
          <w:tcPr>
            <w:tcW w:w="27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0.00</w:t>
            </w:r>
          </w:p>
        </w:tc>
        <w:tc>
          <w:tcPr>
            <w:tcW w:w="280" w:type="dxa"/>
            <w:tcBorders/>
            <w:shd w:fill="CCEEFF" w:val="clear"/>
            <w:vAlign w:val="bottom"/>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Expected forfeiture rate</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0.00</w:t>
            </w:r>
          </w:p>
        </w:tc>
        <w:tc>
          <w:tcPr>
            <w:tcW w:w="280"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annual volatility</w:t>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67.85</w:t>
            </w:r>
          </w:p>
        </w:tc>
        <w:tc>
          <w:tcPr>
            <w:tcW w:w="27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72.33</w:t>
            </w:r>
          </w:p>
        </w:tc>
        <w:tc>
          <w:tcPr>
            <w:tcW w:w="280" w:type="dxa"/>
            <w:tcBorders/>
            <w:shd w:fill="CCEEFF" w:val="clear"/>
            <w:vAlign w:val="bottom"/>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risk-free interest rate</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3.18</w:t>
            </w:r>
          </w:p>
        </w:tc>
        <w:tc>
          <w:tcPr>
            <w:tcW w:w="27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2.76</w:t>
            </w:r>
          </w:p>
        </w:tc>
        <w:tc>
          <w:tcPr>
            <w:tcW w:w="280"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expected option life</w:t>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5.75 years</w:t>
            </w:r>
          </w:p>
        </w:tc>
        <w:tc>
          <w:tcPr>
            <w:tcW w:w="27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5.54 years</w:t>
            </w:r>
          </w:p>
        </w:tc>
        <w:tc>
          <w:tcPr>
            <w:tcW w:w="280" w:type="dxa"/>
            <w:tcBorders/>
            <w:shd w:fill="CCEEFF" w:val="clear"/>
            <w:vAlign w:val="bottom"/>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 price (CDN$)</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9.44</w:t>
            </w:r>
          </w:p>
        </w:tc>
        <w:tc>
          <w:tcPr>
            <w:tcW w:w="27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5.14</w:t>
            </w:r>
          </w:p>
        </w:tc>
        <w:tc>
          <w:tcPr>
            <w:tcW w:w="280" w:type="dxa"/>
            <w:tcBorders/>
            <w:vAlign w:val="bottom"/>
          </w:tcPr>
          <w:p>
            <w:pPr>
              <w:pStyle w:val="TableContents"/>
              <w:bidi w:val="0"/>
              <w:spacing w:before="0" w:after="283"/>
              <w:jc w:val="left"/>
              <w:rPr/>
            </w:pPr>
            <w:r>
              <w:rPr/>
              <w:t> </w:t>
            </w:r>
          </w:p>
        </w:tc>
      </w:tr>
      <w:tr>
        <w:trPr/>
        <w:tc>
          <w:tcPr>
            <w:tcW w:w="43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exercise price (CDN$)</w:t>
            </w:r>
          </w:p>
        </w:tc>
        <w:tc>
          <w:tcPr>
            <w:tcW w:w="3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9.44</w:t>
            </w:r>
          </w:p>
        </w:tc>
        <w:tc>
          <w:tcPr>
            <w:tcW w:w="27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5.14</w:t>
            </w:r>
          </w:p>
        </w:tc>
        <w:tc>
          <w:tcPr>
            <w:tcW w:w="280" w:type="dxa"/>
            <w:tcBorders/>
            <w:shd w:fill="CCEEFF" w:val="clear"/>
            <w:vAlign w:val="bottom"/>
          </w:tcPr>
          <w:p>
            <w:pPr>
              <w:pStyle w:val="TableContents"/>
              <w:bidi w:val="0"/>
              <w:spacing w:before="0" w:after="283"/>
              <w:jc w:val="left"/>
              <w:rPr/>
            </w:pPr>
            <w:r>
              <w:rPr/>
              <w:t> </w:t>
            </w:r>
          </w:p>
        </w:tc>
      </w:tr>
      <w:tr>
        <w:trPr/>
        <w:tc>
          <w:tcPr>
            <w:tcW w:w="430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fair value of options granted (CDN$)</w:t>
            </w:r>
          </w:p>
        </w:tc>
        <w:tc>
          <w:tcPr>
            <w:tcW w:w="3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4.27</w:t>
            </w:r>
          </w:p>
        </w:tc>
        <w:tc>
          <w:tcPr>
            <w:tcW w:w="27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2.53</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Share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Restricted share units (“RSU”) granted under the Omnibus Plan have lives of up to ten years from the date of grant. The vesting schedule of all granted is determined at the discretion of the Board. Unless otherwise determined by the Board, in its sole discretion, all grants of RSU will vest immediately or over a three-year period, with the first twenty-five percent (25%) of the RSU vesting on the date of grant, and the remaining RSU vesting over the following three-year period in three equal instalments on an annual basis. Vesting of RSU is subject to continued service on each vesting date. Upon vesting, each RSU entitles the holder to receive one common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Restricted Share Units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RSU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93"/>
        <w:gridCol w:w="446"/>
        <w:gridCol w:w="60"/>
        <w:gridCol w:w="989"/>
        <w:gridCol w:w="155"/>
        <w:gridCol w:w="420"/>
        <w:gridCol w:w="726"/>
        <w:gridCol w:w="2302"/>
        <w:gridCol w:w="64"/>
      </w:tblGrid>
      <w:tr>
        <w:trPr/>
        <w:tc>
          <w:tcPr>
            <w:tcW w:w="2593"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93"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RSUs</w:t>
            </w:r>
          </w:p>
        </w:tc>
        <w:tc>
          <w:tcPr>
            <w:tcW w:w="155"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3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 Fair Value (CDN$)</w:t>
            </w:r>
          </w:p>
        </w:tc>
        <w:tc>
          <w:tcPr>
            <w:tcW w:w="64" w:type="dxa"/>
            <w:tcBorders/>
            <w:vAlign w:val="bottom"/>
          </w:tcPr>
          <w:p>
            <w:pPr>
              <w:pStyle w:val="TableContents"/>
              <w:bidi w:val="0"/>
              <w:spacing w:before="0" w:after="283"/>
              <w:jc w:val="left"/>
              <w:rPr/>
            </w:pPr>
            <w:r>
              <w:rPr/>
              <w:t> </w:t>
            </w:r>
          </w:p>
        </w:tc>
      </w:tr>
      <w:tr>
        <w:trPr/>
        <w:tc>
          <w:tcPr>
            <w:tcW w:w="25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2024</w:t>
            </w:r>
          </w:p>
        </w:tc>
        <w:tc>
          <w:tcPr>
            <w:tcW w:w="4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left"/>
              <w:rPr/>
            </w:pPr>
            <w:r>
              <w:rPr/>
              <w:t> </w:t>
            </w:r>
          </w:p>
        </w:tc>
        <w:tc>
          <w:tcPr>
            <w:tcW w:w="230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59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1,254,600</w:t>
            </w:r>
          </w:p>
        </w:tc>
        <w:tc>
          <w:tcPr>
            <w:tcW w:w="155"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left"/>
              <w:rPr/>
            </w:pPr>
            <w:r>
              <w:rPr/>
              <w:t> </w:t>
            </w:r>
          </w:p>
        </w:tc>
        <w:tc>
          <w:tcPr>
            <w:tcW w:w="2302" w:type="dxa"/>
            <w:tcBorders/>
            <w:vAlign w:val="bottom"/>
          </w:tcPr>
          <w:p>
            <w:pPr>
              <w:pStyle w:val="TableContents"/>
              <w:bidi w:val="0"/>
              <w:spacing w:before="0" w:after="283"/>
              <w:jc w:val="right"/>
              <w:rPr/>
            </w:pPr>
            <w:r>
              <w:rPr/>
              <w:t>8.64</w:t>
            </w:r>
          </w:p>
        </w:tc>
        <w:tc>
          <w:tcPr>
            <w:tcW w:w="64" w:type="dxa"/>
            <w:tcBorders/>
            <w:vAlign w:val="bottom"/>
          </w:tcPr>
          <w:p>
            <w:pPr>
              <w:pStyle w:val="TableContents"/>
              <w:bidi w:val="0"/>
              <w:spacing w:before="0" w:after="283"/>
              <w:jc w:val="left"/>
              <w:rPr/>
            </w:pPr>
            <w:r>
              <w:rPr/>
              <w:t> </w:t>
            </w:r>
          </w:p>
        </w:tc>
      </w:tr>
      <w:tr>
        <w:trPr/>
        <w:tc>
          <w:tcPr>
            <w:tcW w:w="2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Settled</w:t>
            </w:r>
          </w:p>
        </w:tc>
        <w:tc>
          <w:tcPr>
            <w:tcW w:w="4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(45,000</w:t>
            </w:r>
          </w:p>
        </w:tc>
        <w:tc>
          <w:tcPr>
            <w:tcW w:w="155"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left"/>
              <w:rPr/>
            </w:pPr>
            <w:r>
              <w:rPr/>
              <w:t> </w:t>
            </w:r>
          </w:p>
        </w:tc>
        <w:tc>
          <w:tcPr>
            <w:tcW w:w="2302" w:type="dxa"/>
            <w:tcBorders/>
            <w:shd w:fill="CCEEFF" w:val="clear"/>
            <w:vAlign w:val="bottom"/>
          </w:tcPr>
          <w:p>
            <w:pPr>
              <w:pStyle w:val="TableContents"/>
              <w:bidi w:val="0"/>
              <w:spacing w:before="0" w:after="283"/>
              <w:jc w:val="right"/>
              <w:rPr/>
            </w:pPr>
            <w:r>
              <w:rPr/>
              <w:t>8.78</w:t>
            </w:r>
          </w:p>
        </w:tc>
        <w:tc>
          <w:tcPr>
            <w:tcW w:w="64" w:type="dxa"/>
            <w:tcBorders/>
            <w:shd w:fill="CCEEFF" w:val="clear"/>
            <w:vAlign w:val="bottom"/>
          </w:tcPr>
          <w:p>
            <w:pPr>
              <w:pStyle w:val="TableContents"/>
              <w:bidi w:val="0"/>
              <w:spacing w:before="0" w:after="283"/>
              <w:jc w:val="left"/>
              <w:rPr/>
            </w:pPr>
            <w:r>
              <w:rPr/>
              <w:t> </w:t>
            </w:r>
          </w:p>
        </w:tc>
      </w:tr>
      <w:tr>
        <w:trPr/>
        <w:tc>
          <w:tcPr>
            <w:tcW w:w="2593"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230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5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4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b/>
              </w:rPr>
            </w:pPr>
            <w:r>
              <w:rPr>
                <w:b/>
              </w:rPr>
              <w:t>1,209,600</w:t>
            </w:r>
          </w:p>
        </w:tc>
        <w:tc>
          <w:tcPr>
            <w:tcW w:w="155"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left"/>
              <w:rPr>
                <w:b/>
              </w:rPr>
            </w:pPr>
            <w:r>
              <w:rPr>
                <w:b/>
              </w:rPr>
              <w:t>$</w:t>
            </w:r>
          </w:p>
        </w:tc>
        <w:tc>
          <w:tcPr>
            <w:tcW w:w="2302" w:type="dxa"/>
            <w:tcBorders/>
            <w:vAlign w:val="bottom"/>
          </w:tcPr>
          <w:p>
            <w:pPr>
              <w:pStyle w:val="TableContents"/>
              <w:bidi w:val="0"/>
              <w:spacing w:before="0" w:after="283"/>
              <w:jc w:val="right"/>
              <w:rPr>
                <w:b/>
              </w:rPr>
            </w:pPr>
            <w:r>
              <w:rPr>
                <w:b/>
              </w:rPr>
              <w:t>8.63</w:t>
            </w:r>
          </w:p>
        </w:tc>
        <w:tc>
          <w:tcPr>
            <w:tcW w:w="64" w:type="dxa"/>
            <w:tcBorders/>
            <w:vAlign w:val="bottom"/>
          </w:tcPr>
          <w:p>
            <w:pPr>
              <w:pStyle w:val="TableContents"/>
              <w:bidi w:val="0"/>
              <w:spacing w:before="0" w:after="283"/>
              <w:jc w:val="left"/>
              <w:rPr/>
            </w:pPr>
            <w:r>
              <w:rPr/>
              <w:t> </w:t>
            </w:r>
          </w:p>
        </w:tc>
      </w:tr>
      <w:tr>
        <w:trPr/>
        <w:tc>
          <w:tcPr>
            <w:tcW w:w="2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44,150</w:t>
            </w:r>
          </w:p>
        </w:tc>
        <w:tc>
          <w:tcPr>
            <w:tcW w:w="155"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left"/>
              <w:rPr/>
            </w:pPr>
            <w:r>
              <w:rPr/>
              <w:t> </w:t>
            </w:r>
          </w:p>
        </w:tc>
        <w:tc>
          <w:tcPr>
            <w:tcW w:w="2302" w:type="dxa"/>
            <w:tcBorders/>
            <w:shd w:fill="CCEEFF" w:val="clear"/>
            <w:vAlign w:val="bottom"/>
          </w:tcPr>
          <w:p>
            <w:pPr>
              <w:pStyle w:val="TableContents"/>
              <w:bidi w:val="0"/>
              <w:spacing w:before="0" w:after="283"/>
              <w:jc w:val="right"/>
              <w:rPr/>
            </w:pPr>
            <w:r>
              <w:rPr/>
              <w:t>9.44</w:t>
            </w:r>
          </w:p>
        </w:tc>
        <w:tc>
          <w:tcPr>
            <w:tcW w:w="64" w:type="dxa"/>
            <w:tcBorders/>
            <w:shd w:fill="CCEEFF" w:val="clear"/>
            <w:vAlign w:val="bottom"/>
          </w:tcPr>
          <w:p>
            <w:pPr>
              <w:pStyle w:val="TableContents"/>
              <w:bidi w:val="0"/>
              <w:spacing w:before="0" w:after="283"/>
              <w:jc w:val="left"/>
              <w:rPr/>
            </w:pPr>
            <w:r>
              <w:rPr/>
              <w:t> </w:t>
            </w:r>
          </w:p>
        </w:tc>
      </w:tr>
      <w:tr>
        <w:trPr/>
        <w:tc>
          <w:tcPr>
            <w:tcW w:w="2593"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230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593"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March 31, 2026</w:t>
            </w:r>
          </w:p>
        </w:tc>
        <w:tc>
          <w:tcPr>
            <w:tcW w:w="4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b/>
              </w:rPr>
            </w:pPr>
            <w:r>
              <w:rPr>
                <w:b/>
              </w:rPr>
              <w:t>1,253,750</w:t>
            </w:r>
          </w:p>
        </w:tc>
        <w:tc>
          <w:tcPr>
            <w:tcW w:w="155"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left"/>
              <w:rPr>
                <w:b/>
              </w:rPr>
            </w:pPr>
            <w:r>
              <w:rPr>
                <w:b/>
              </w:rPr>
              <w:t>$</w:t>
            </w:r>
          </w:p>
        </w:tc>
        <w:tc>
          <w:tcPr>
            <w:tcW w:w="2302" w:type="dxa"/>
            <w:tcBorders/>
            <w:vAlign w:val="bottom"/>
          </w:tcPr>
          <w:p>
            <w:pPr>
              <w:pStyle w:val="TableContents"/>
              <w:bidi w:val="0"/>
              <w:spacing w:before="0" w:after="283"/>
              <w:jc w:val="right"/>
              <w:rPr>
                <w:b/>
              </w:rPr>
            </w:pPr>
            <w:r>
              <w:rPr>
                <w:b/>
              </w:rPr>
              <w:t>8.66</w:t>
            </w:r>
          </w:p>
        </w:tc>
        <w:tc>
          <w:tcPr>
            <w:tcW w:w="64" w:type="dxa"/>
            <w:tcBorders/>
            <w:vAlign w:val="bottom"/>
          </w:tcPr>
          <w:p>
            <w:pPr>
              <w:pStyle w:val="TableContents"/>
              <w:bidi w:val="0"/>
              <w:spacing w:before="0" w:after="283"/>
              <w:jc w:val="left"/>
              <w:rPr/>
            </w:pPr>
            <w:r>
              <w:rPr/>
              <w:t> </w:t>
            </w:r>
          </w:p>
        </w:tc>
      </w:tr>
      <w:tr>
        <w:trPr/>
        <w:tc>
          <w:tcPr>
            <w:tcW w:w="2593"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230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Share-based payments for the three months ended March 31, 2026, were $966,690 (2025 - $nil) (See Note 12 – General &amp; Administrative Expenses and Note 13 – Research &amp; Development Expenses for breakdown by function).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Omnibus Incentive Plan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Restricted Share Units (continued)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RSU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43"/>
        <w:gridCol w:w="288"/>
        <w:gridCol w:w="73"/>
        <w:gridCol w:w="1208"/>
        <w:gridCol w:w="60"/>
        <w:gridCol w:w="288"/>
        <w:gridCol w:w="88"/>
        <w:gridCol w:w="1181"/>
        <w:gridCol w:w="60"/>
        <w:gridCol w:w="288"/>
        <w:gridCol w:w="463"/>
        <w:gridCol w:w="1450"/>
        <w:gridCol w:w="65"/>
      </w:tblGrid>
      <w:tr>
        <w:trPr/>
        <w:tc>
          <w:tcPr>
            <w:tcW w:w="224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24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Grant Date</w:t>
            </w:r>
          </w:p>
        </w:tc>
        <w:tc>
          <w:tcPr>
            <w:tcW w:w="288"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pPr>
            <w:r>
              <w:rPr>
                <w:b/>
              </w:rPr>
              <w:t>RSUs</w:t>
            </w:r>
            <w:r>
              <w:rPr/>
              <w:br/>
            </w:r>
            <w:r>
              <w:rPr>
                <w:b/>
              </w:rPr>
              <w:t>Outstanding</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69" w:type="dxa"/>
            <w:gridSpan w:val="2"/>
            <w:tcBorders>
              <w:bottom w:val="single" w:sz="8" w:space="0" w:color="000000"/>
            </w:tcBorders>
            <w:tcMar>
              <w:bottom w:w="28" w:type="dxa"/>
            </w:tcMar>
            <w:vAlign w:val="bottom"/>
          </w:tcPr>
          <w:p>
            <w:pPr>
              <w:pStyle w:val="TableContents"/>
              <w:bidi w:val="0"/>
              <w:spacing w:before="0" w:after="283"/>
              <w:jc w:val="center"/>
              <w:rPr/>
            </w:pPr>
            <w:r>
              <w:rPr>
                <w:b/>
              </w:rPr>
              <w:t>RSUs</w:t>
            </w:r>
            <w:r>
              <w:rPr/>
              <w:br/>
            </w:r>
            <w:r>
              <w:rPr>
                <w:b/>
              </w:rPr>
              <w:t>Redeemable</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Grant Date Fair</w:t>
              <w:br/>
              <w:t>Value (CDN$)</w:t>
            </w:r>
          </w:p>
        </w:tc>
        <w:tc>
          <w:tcPr>
            <w:tcW w:w="65" w:type="dxa"/>
            <w:tcBorders/>
            <w:vAlign w:val="bottom"/>
          </w:tcPr>
          <w:p>
            <w:pPr>
              <w:pStyle w:val="TableContents"/>
              <w:bidi w:val="0"/>
              <w:spacing w:before="0" w:after="283"/>
              <w:jc w:val="left"/>
              <w:rPr/>
            </w:pPr>
            <w:r>
              <w:rPr/>
              <w:t> </w:t>
            </w:r>
          </w:p>
        </w:tc>
      </w:tr>
      <w:tr>
        <w:trPr/>
        <w:tc>
          <w:tcPr>
            <w:tcW w:w="2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 15, 2025</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1,209,600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797,400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w:t>
            </w:r>
          </w:p>
        </w:tc>
        <w:tc>
          <w:tcPr>
            <w:tcW w:w="1450" w:type="dxa"/>
            <w:tcBorders/>
            <w:shd w:fill="CCEEFF" w:val="clear"/>
            <w:vAlign w:val="bottom"/>
          </w:tcPr>
          <w:p>
            <w:pPr>
              <w:pStyle w:val="TableContents"/>
              <w:bidi w:val="0"/>
              <w:spacing w:before="0" w:after="283"/>
              <w:jc w:val="right"/>
              <w:rPr/>
            </w:pPr>
            <w:r>
              <w:rPr/>
              <w:t>8.63</w:t>
            </w:r>
          </w:p>
        </w:tc>
        <w:tc>
          <w:tcPr>
            <w:tcW w:w="65" w:type="dxa"/>
            <w:tcBorders/>
            <w:shd w:fill="CCEEFF" w:val="clear"/>
            <w:vAlign w:val="bottom"/>
          </w:tcPr>
          <w:p>
            <w:pPr>
              <w:pStyle w:val="TableContents"/>
              <w:bidi w:val="0"/>
              <w:spacing w:before="0" w:after="283"/>
              <w:jc w:val="left"/>
              <w:rPr/>
            </w:pPr>
            <w:r>
              <w:rPr/>
              <w:t> </w:t>
            </w:r>
          </w:p>
        </w:tc>
      </w:tr>
      <w:tr>
        <w:trPr/>
        <w:tc>
          <w:tcPr>
            <w:tcW w:w="2243" w:type="dxa"/>
            <w:tcBorders/>
          </w:tcPr>
          <w:p>
            <w:pPr>
              <w:pStyle w:val="TableContents"/>
              <w:bidi w:val="0"/>
              <w:spacing w:before="0" w:after="0"/>
              <w:jc w:val="left"/>
              <w:rPr>
                <w:rFonts w:ascii="Times New Roman" w:hAnsi="Times New Roman"/>
                <w:sz w:val="20"/>
              </w:rPr>
            </w:pPr>
            <w:r>
              <w:rPr>
                <w:rFonts w:ascii="Times New Roman" w:hAnsi="Times New Roman"/>
                <w:sz w:val="20"/>
              </w:rPr>
              <w:t>Mar 27, 2026</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44,150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11,030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w:t>
            </w:r>
          </w:p>
        </w:tc>
        <w:tc>
          <w:tcPr>
            <w:tcW w:w="1450" w:type="dxa"/>
            <w:tcBorders/>
            <w:vAlign w:val="bottom"/>
          </w:tcPr>
          <w:p>
            <w:pPr>
              <w:pStyle w:val="TableContents"/>
              <w:bidi w:val="0"/>
              <w:spacing w:before="0" w:after="283"/>
              <w:jc w:val="right"/>
              <w:rPr/>
            </w:pPr>
            <w:r>
              <w:rPr/>
              <w:t>9.44</w:t>
            </w:r>
          </w:p>
        </w:tc>
        <w:tc>
          <w:tcPr>
            <w:tcW w:w="65" w:type="dxa"/>
            <w:tcBorders/>
            <w:vAlign w:val="bottom"/>
          </w:tcPr>
          <w:p>
            <w:pPr>
              <w:pStyle w:val="TableContents"/>
              <w:bidi w:val="0"/>
              <w:spacing w:before="0" w:after="283"/>
              <w:jc w:val="left"/>
              <w:rPr/>
            </w:pPr>
            <w:r>
              <w:rPr/>
              <w:t> </w:t>
            </w:r>
          </w:p>
        </w:tc>
      </w:tr>
      <w:tr>
        <w:trPr/>
        <w:tc>
          <w:tcPr>
            <w:tcW w:w="224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single" w:sz="2" w:space="1" w:color="000000"/>
              </w:pBdr>
              <w:bidi w:val="0"/>
              <w:spacing w:before="0" w:after="0"/>
              <w:jc w:val="left"/>
              <w:rPr/>
            </w:pPr>
            <w:r>
              <w:rPr/>
              <w:t> </w:t>
            </w:r>
          </w:p>
        </w:tc>
        <w:tc>
          <w:tcPr>
            <w:tcW w:w="145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43" w:type="dxa"/>
            <w:tcBorders/>
            <w:shd w:fill="CCEEFF" w:val="clear"/>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b/>
              </w:rPr>
            </w:pPr>
            <w:r>
              <w:rPr>
                <w:b/>
              </w:rPr>
              <w:t>1,253,750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b/>
              </w:rPr>
            </w:pPr>
            <w:r>
              <w:rPr>
                <w:b/>
              </w:rPr>
              <w:t>808,430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b/>
              </w:rPr>
            </w:pPr>
            <w:r>
              <w:rPr>
                <w:b/>
              </w:rPr>
              <w:t>$</w:t>
            </w:r>
          </w:p>
        </w:tc>
        <w:tc>
          <w:tcPr>
            <w:tcW w:w="1450" w:type="dxa"/>
            <w:tcBorders/>
            <w:shd w:fill="CCEEFF" w:val="clear"/>
            <w:vAlign w:val="bottom"/>
          </w:tcPr>
          <w:p>
            <w:pPr>
              <w:pStyle w:val="TableContents"/>
              <w:bidi w:val="0"/>
              <w:spacing w:before="0" w:after="283"/>
              <w:jc w:val="right"/>
              <w:rPr>
                <w:b/>
              </w:rPr>
            </w:pPr>
            <w:r>
              <w:rPr>
                <w:b/>
              </w:rPr>
              <w:t>8.66</w:t>
            </w:r>
          </w:p>
        </w:tc>
        <w:tc>
          <w:tcPr>
            <w:tcW w:w="65" w:type="dxa"/>
            <w:tcBorders/>
            <w:shd w:fill="CCEEFF" w:val="clear"/>
            <w:vAlign w:val="bottom"/>
          </w:tcPr>
          <w:p>
            <w:pPr>
              <w:pStyle w:val="TableContents"/>
              <w:bidi w:val="0"/>
              <w:spacing w:before="0" w:after="283"/>
              <w:jc w:val="left"/>
              <w:rPr/>
            </w:pPr>
            <w:r>
              <w:rPr/>
              <w:t> </w:t>
            </w:r>
          </w:p>
        </w:tc>
      </w:tr>
      <w:tr>
        <w:trPr/>
        <w:tc>
          <w:tcPr>
            <w:tcW w:w="224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63" w:type="dxa"/>
            <w:tcBorders/>
            <w:vAlign w:val="bottom"/>
          </w:tcPr>
          <w:p>
            <w:pPr>
              <w:pStyle w:val="TableContents"/>
              <w:pBdr>
                <w:top w:val="double" w:sz="6" w:space="1" w:color="000000"/>
              </w:pBdr>
              <w:bidi w:val="0"/>
              <w:spacing w:before="0" w:after="0"/>
              <w:jc w:val="left"/>
              <w:rPr/>
            </w:pPr>
            <w:r>
              <w:rPr/>
              <w:t> </w:t>
            </w:r>
          </w:p>
        </w:tc>
        <w:tc>
          <w:tcPr>
            <w:tcW w:w="145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unrecognized stock-based compensation expense related to the non-restricted share units was $2,318,280 which is expected to be recognized over a weighted-average period of 2.74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warrant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89"/>
        <w:gridCol w:w="431"/>
        <w:gridCol w:w="60"/>
        <w:gridCol w:w="1056"/>
        <w:gridCol w:w="155"/>
        <w:gridCol w:w="394"/>
        <w:gridCol w:w="501"/>
        <w:gridCol w:w="1604"/>
        <w:gridCol w:w="65"/>
      </w:tblGrid>
      <w:tr>
        <w:trPr/>
        <w:tc>
          <w:tcPr>
            <w:tcW w:w="3489"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89"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warrants</w:t>
            </w:r>
          </w:p>
        </w:tc>
        <w:tc>
          <w:tcPr>
            <w:tcW w:w="15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 average</w:t>
            </w:r>
            <w:r>
              <w:rPr/>
              <w:br/>
            </w:r>
            <w:r>
              <w:rPr>
                <w:b/>
              </w:rPr>
              <w:t>exercise price (CDN$)</w:t>
            </w:r>
          </w:p>
        </w:tc>
        <w:tc>
          <w:tcPr>
            <w:tcW w:w="65" w:type="dxa"/>
            <w:tcBorders/>
            <w:vAlign w:val="bottom"/>
          </w:tcPr>
          <w:p>
            <w:pPr>
              <w:pStyle w:val="TableContents"/>
              <w:bidi w:val="0"/>
              <w:spacing w:before="0" w:after="283"/>
              <w:jc w:val="left"/>
              <w:rPr/>
            </w:pPr>
            <w:r>
              <w:rPr/>
              <w:t> </w:t>
            </w:r>
          </w:p>
        </w:tc>
      </w:tr>
      <w:tr>
        <w:trPr/>
        <w:tc>
          <w:tcPr>
            <w:tcW w:w="34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2024</w:t>
            </w:r>
          </w:p>
        </w:tc>
        <w:tc>
          <w:tcPr>
            <w:tcW w:w="4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b/>
              </w:rPr>
            </w:pPr>
            <w:r>
              <w:rPr>
                <w:b/>
              </w:rPr>
              <w:t>8,807,977</w:t>
            </w:r>
          </w:p>
        </w:tc>
        <w:tc>
          <w:tcPr>
            <w:tcW w:w="15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b/>
              </w:rPr>
            </w:pPr>
            <w:r>
              <w:rPr>
                <w:b/>
              </w:rPr>
              <w:t>$</w:t>
            </w:r>
          </w:p>
        </w:tc>
        <w:tc>
          <w:tcPr>
            <w:tcW w:w="1604" w:type="dxa"/>
            <w:tcBorders/>
            <w:shd w:fill="CCEEFF" w:val="clear"/>
            <w:vAlign w:val="bottom"/>
          </w:tcPr>
          <w:p>
            <w:pPr>
              <w:pStyle w:val="TableContents"/>
              <w:bidi w:val="0"/>
              <w:spacing w:before="0" w:after="283"/>
              <w:jc w:val="right"/>
              <w:rPr>
                <w:b/>
              </w:rPr>
            </w:pPr>
            <w:r>
              <w:rPr>
                <w:b/>
              </w:rPr>
              <w:t>5.48</w:t>
            </w:r>
          </w:p>
        </w:tc>
        <w:tc>
          <w:tcPr>
            <w:tcW w:w="65" w:type="dxa"/>
            <w:tcBorders/>
            <w:shd w:fill="CCEEFF" w:val="clear"/>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16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(879,900</w:t>
            </w:r>
          </w:p>
        </w:tc>
        <w:tc>
          <w:tcPr>
            <w:tcW w:w="15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2.46</w:t>
            </w:r>
          </w:p>
        </w:tc>
        <w:tc>
          <w:tcPr>
            <w:tcW w:w="65"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100,500</w:t>
            </w:r>
          </w:p>
        </w:tc>
        <w:tc>
          <w:tcPr>
            <w:tcW w:w="15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right"/>
              <w:rPr/>
            </w:pPr>
            <w:r>
              <w:rPr/>
              <w:t>0.75</w:t>
            </w:r>
          </w:p>
        </w:tc>
        <w:tc>
          <w:tcPr>
            <w:tcW w:w="65" w:type="dxa"/>
            <w:tcBorders/>
            <w:shd w:fill="CCEEFF" w:val="clear"/>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16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4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b/>
              </w:rPr>
            </w:pPr>
            <w:r>
              <w:rPr>
                <w:b/>
              </w:rPr>
              <w:t>8,028,577</w:t>
            </w:r>
          </w:p>
        </w:tc>
        <w:tc>
          <w:tcPr>
            <w:tcW w:w="15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b/>
              </w:rPr>
            </w:pPr>
            <w:r>
              <w:rPr>
                <w:b/>
              </w:rPr>
              <w:t>5.75</w:t>
            </w:r>
          </w:p>
        </w:tc>
        <w:tc>
          <w:tcPr>
            <w:tcW w:w="65"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(2,226,279</w:t>
            </w:r>
          </w:p>
        </w:tc>
        <w:tc>
          <w:tcPr>
            <w:tcW w:w="15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right"/>
              <w:rPr/>
            </w:pPr>
            <w:r>
              <w:rPr/>
              <w:t>6.03</w:t>
            </w:r>
          </w:p>
        </w:tc>
        <w:tc>
          <w:tcPr>
            <w:tcW w:w="65" w:type="dxa"/>
            <w:tcBorders/>
            <w:shd w:fill="CCEEFF" w:val="clear"/>
            <w:vAlign w:val="bottom"/>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4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(2,002,474</w:t>
            </w:r>
          </w:p>
        </w:tc>
        <w:tc>
          <w:tcPr>
            <w:tcW w:w="15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3.00</w:t>
            </w:r>
          </w:p>
        </w:tc>
        <w:tc>
          <w:tcPr>
            <w:tcW w:w="65" w:type="dxa"/>
            <w:tcBorders/>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160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4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Outstanding March 31, 2026</w:t>
            </w:r>
          </w:p>
        </w:tc>
        <w:tc>
          <w:tcPr>
            <w:tcW w:w="4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b/>
              </w:rPr>
            </w:pPr>
            <w:r>
              <w:rPr>
                <w:b/>
              </w:rPr>
              <w:t>3,799,824</w:t>
            </w:r>
          </w:p>
        </w:tc>
        <w:tc>
          <w:tcPr>
            <w:tcW w:w="155"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1604" w:type="dxa"/>
            <w:tcBorders/>
            <w:shd w:fill="CCEEFF" w:val="clear"/>
            <w:vAlign w:val="bottom"/>
          </w:tcPr>
          <w:p>
            <w:pPr>
              <w:pStyle w:val="TableContents"/>
              <w:bidi w:val="0"/>
              <w:spacing w:before="0" w:after="283"/>
              <w:jc w:val="right"/>
              <w:rPr>
                <w:b/>
              </w:rPr>
            </w:pPr>
            <w:r>
              <w:rPr>
                <w:b/>
              </w:rPr>
              <w:t>2.71</w:t>
            </w:r>
          </w:p>
        </w:tc>
        <w:tc>
          <w:tcPr>
            <w:tcW w:w="65" w:type="dxa"/>
            <w:tcBorders/>
            <w:shd w:fill="CCEEFF" w:val="clear"/>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501" w:type="dxa"/>
            <w:tcBorders/>
            <w:vAlign w:val="bottom"/>
          </w:tcPr>
          <w:p>
            <w:pPr>
              <w:pStyle w:val="TableContents"/>
              <w:pBdr>
                <w:top w:val="double" w:sz="6" w:space="1" w:color="000000"/>
              </w:pBdr>
              <w:bidi w:val="0"/>
              <w:spacing w:before="0" w:after="0"/>
              <w:jc w:val="left"/>
              <w:rPr/>
            </w:pPr>
            <w:r>
              <w:rPr/>
              <w:t> </w:t>
            </w:r>
          </w:p>
        </w:tc>
        <w:tc>
          <w:tcPr>
            <w:tcW w:w="160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(continued)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at December 31, 2025, the following warrants were outstanding: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50"/>
        <w:gridCol w:w="298"/>
        <w:gridCol w:w="246"/>
        <w:gridCol w:w="1202"/>
        <w:gridCol w:w="60"/>
        <w:gridCol w:w="298"/>
        <w:gridCol w:w="184"/>
        <w:gridCol w:w="1365"/>
        <w:gridCol w:w="60"/>
        <w:gridCol w:w="297"/>
        <w:gridCol w:w="70"/>
        <w:gridCol w:w="1159"/>
        <w:gridCol w:w="66"/>
      </w:tblGrid>
      <w:tr>
        <w:trPr/>
        <w:tc>
          <w:tcPr>
            <w:tcW w:w="245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Expiry date</w:t>
            </w:r>
          </w:p>
        </w:tc>
        <w:tc>
          <w:tcPr>
            <w:tcW w:w="298"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 price</w:t>
              <w:br/>
              <w:t>(CDN$)</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Remaining</w:t>
              <w:br/>
              <w:t>contractual life</w:t>
              <w:br/>
              <w:t>(years)</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pPr>
            <w:r>
              <w:rPr>
                <w:b/>
              </w:rPr>
              <w:t>Warrants</w:t>
            </w:r>
            <w:r>
              <w:rPr/>
              <w:br/>
            </w:r>
            <w:r>
              <w:rPr>
                <w:b/>
              </w:rPr>
              <w:t>outstanding</w:t>
            </w:r>
            <w:r>
              <w:rPr/>
              <w:br/>
            </w:r>
            <w:r>
              <w:rPr>
                <w:b/>
              </w:rPr>
              <w:t>and</w:t>
            </w:r>
            <w:r>
              <w:rPr/>
              <w:br/>
            </w:r>
            <w:r>
              <w:rPr>
                <w:b/>
              </w:rPr>
              <w:t>exercisable</w:t>
            </w:r>
          </w:p>
        </w:tc>
        <w:tc>
          <w:tcPr>
            <w:tcW w:w="66" w:type="dxa"/>
            <w:tcBorders/>
            <w:vAlign w:val="bottom"/>
          </w:tcPr>
          <w:p>
            <w:pPr>
              <w:pStyle w:val="TableContents"/>
              <w:bidi w:val="0"/>
              <w:spacing w:before="0" w:after="283"/>
              <w:jc w:val="left"/>
              <w:rPr/>
            </w:pPr>
            <w:r>
              <w:rPr/>
              <w:t> </w:t>
            </w:r>
          </w:p>
        </w:tc>
      </w:tr>
      <w:tr>
        <w:trPr/>
        <w:tc>
          <w:tcPr>
            <w:tcW w:w="2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120 days after holder to be a Director/ Officer or consultant</w:t>
            </w:r>
          </w:p>
        </w:tc>
        <w:tc>
          <w:tcPr>
            <w:tcW w:w="29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0.7572</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243,421</w:t>
            </w:r>
          </w:p>
        </w:tc>
        <w:tc>
          <w:tcPr>
            <w:tcW w:w="66" w:type="dxa"/>
            <w:tcBorders/>
            <w:shd w:fill="CCEEFF" w:val="clear"/>
            <w:vAlign w:val="bottom"/>
          </w:tcPr>
          <w:p>
            <w:pPr>
              <w:pStyle w:val="TableContents"/>
              <w:bidi w:val="0"/>
              <w:spacing w:before="0" w:after="283"/>
              <w:jc w:val="left"/>
              <w:rPr/>
            </w:pPr>
            <w:r>
              <w:rPr/>
              <w:t> </w:t>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120 days after former spouse ceases to be a Director/ Officer or consultant</w:t>
            </w:r>
          </w:p>
        </w:tc>
        <w:tc>
          <w:tcPr>
            <w:tcW w:w="29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0"/>
              <w:jc w:val="left"/>
              <w:rPr/>
            </w:pPr>
            <w:r>
              <w:rPr/>
              <w:t> </w:t>
            </w:r>
          </w:p>
        </w:tc>
        <w:tc>
          <w:tcPr>
            <w:tcW w:w="1202"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0.7572</w:t>
            </w:r>
          </w:p>
        </w:tc>
        <w:tc>
          <w:tcPr>
            <w:tcW w:w="60" w:type="dxa"/>
            <w:tcBorders/>
            <w:vAlign w:val="bottom"/>
          </w:tcPr>
          <w:p>
            <w:pPr>
              <w:pStyle w:val="TableContents"/>
              <w:bidi w:val="0"/>
              <w:spacing w:before="0" w:after="20"/>
              <w:jc w:val="left"/>
              <w:rPr/>
            </w:pPr>
            <w:r>
              <w:rPr/>
              <w:t> </w:t>
            </w:r>
          </w:p>
        </w:tc>
        <w:tc>
          <w:tcPr>
            <w:tcW w:w="29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0"/>
              <w:jc w:val="left"/>
              <w:rPr/>
            </w:pPr>
            <w:r>
              <w:rPr/>
              <w:t> </w:t>
            </w:r>
          </w:p>
        </w:tc>
        <w:tc>
          <w:tcPr>
            <w:tcW w:w="1365"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N/A</w:t>
            </w:r>
          </w:p>
        </w:tc>
        <w:tc>
          <w:tcPr>
            <w:tcW w:w="60" w:type="dxa"/>
            <w:tcBorders/>
            <w:vAlign w:val="bottom"/>
          </w:tcPr>
          <w:p>
            <w:pPr>
              <w:pStyle w:val="TableContents"/>
              <w:bidi w:val="0"/>
              <w:spacing w:before="0" w:after="20"/>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0"/>
              <w:jc w:val="left"/>
              <w:rPr/>
            </w:pPr>
            <w:r>
              <w:rPr/>
              <w:t> </w:t>
            </w:r>
          </w:p>
        </w:tc>
        <w:tc>
          <w:tcPr>
            <w:tcW w:w="1159"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137,500</w:t>
            </w:r>
          </w:p>
        </w:tc>
        <w:tc>
          <w:tcPr>
            <w:tcW w:w="66" w:type="dxa"/>
            <w:tcBorders/>
            <w:vAlign w:val="bottom"/>
          </w:tcPr>
          <w:p>
            <w:pPr>
              <w:pStyle w:val="TableContents"/>
              <w:bidi w:val="0"/>
              <w:spacing w:before="0" w:after="20"/>
              <w:jc w:val="left"/>
              <w:rPr/>
            </w:pPr>
            <w:r>
              <w:rPr/>
              <w:t> </w:t>
            </w:r>
          </w:p>
        </w:tc>
      </w:tr>
      <w:tr>
        <w:trPr/>
        <w:tc>
          <w:tcPr>
            <w:tcW w:w="2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120 days after holder ceases to be a Director/ Officer or consultant(1)</w:t>
            </w:r>
          </w:p>
        </w:tc>
        <w:tc>
          <w:tcPr>
            <w:tcW w:w="29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0.4984</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215,000</w:t>
            </w:r>
          </w:p>
        </w:tc>
        <w:tc>
          <w:tcPr>
            <w:tcW w:w="66" w:type="dxa"/>
            <w:tcBorders/>
            <w:shd w:fill="CCEEFF" w:val="clear"/>
            <w:vAlign w:val="bottom"/>
          </w:tcPr>
          <w:p>
            <w:pPr>
              <w:pStyle w:val="TableContents"/>
              <w:bidi w:val="0"/>
              <w:spacing w:before="0" w:after="283"/>
              <w:jc w:val="left"/>
              <w:rPr/>
            </w:pPr>
            <w:r>
              <w:rPr/>
              <w:t> </w:t>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April 20, 2026</w:t>
            </w:r>
          </w:p>
        </w:tc>
        <w:tc>
          <w:tcPr>
            <w:tcW w:w="29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0.06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3,114,621</w:t>
            </w:r>
          </w:p>
        </w:tc>
        <w:tc>
          <w:tcPr>
            <w:tcW w:w="66" w:type="dxa"/>
            <w:tcBorders/>
            <w:vAlign w:val="bottom"/>
          </w:tcPr>
          <w:p>
            <w:pPr>
              <w:pStyle w:val="TableContents"/>
              <w:bidi w:val="0"/>
              <w:spacing w:before="0" w:after="283"/>
              <w:jc w:val="left"/>
              <w:rPr/>
            </w:pPr>
            <w:r>
              <w:rPr/>
              <w:t> </w:t>
            </w:r>
          </w:p>
        </w:tc>
      </w:tr>
      <w:tr>
        <w:trPr/>
        <w:tc>
          <w:tcPr>
            <w:tcW w:w="2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20, 2026</w:t>
            </w:r>
          </w:p>
        </w:tc>
        <w:tc>
          <w:tcPr>
            <w:tcW w:w="29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2.05</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bidi w:val="0"/>
              <w:spacing w:before="0" w:after="283"/>
              <w:jc w:val="right"/>
              <w:rPr/>
            </w:pPr>
            <w:r>
              <w:rPr/>
              <w:t>0.06</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50,054</w:t>
            </w:r>
          </w:p>
        </w:tc>
        <w:tc>
          <w:tcPr>
            <w:tcW w:w="66" w:type="dxa"/>
            <w:tcBorders/>
            <w:shd w:fill="CCEEFF" w:val="clear"/>
            <w:vAlign w:val="bottom"/>
          </w:tcPr>
          <w:p>
            <w:pPr>
              <w:pStyle w:val="TableContents"/>
              <w:bidi w:val="0"/>
              <w:spacing w:before="0" w:after="283"/>
              <w:jc w:val="left"/>
              <w:rPr/>
            </w:pPr>
            <w:r>
              <w:rPr/>
              <w:t> </w:t>
            </w:r>
          </w:p>
        </w:tc>
      </w:tr>
      <w:tr>
        <w:trPr/>
        <w:tc>
          <w:tcPr>
            <w:tcW w:w="2450" w:type="dxa"/>
            <w:tcBorders/>
          </w:tcPr>
          <w:p>
            <w:pPr>
              <w:pStyle w:val="TableContents"/>
              <w:bidi w:val="0"/>
              <w:spacing w:before="0" w:after="0"/>
              <w:jc w:val="left"/>
              <w:rPr>
                <w:rFonts w:ascii="Times New Roman" w:hAnsi="Times New Roman"/>
                <w:sz w:val="20"/>
              </w:rPr>
            </w:pPr>
            <w:r>
              <w:rPr>
                <w:rFonts w:ascii="Times New Roman" w:hAnsi="Times New Roman"/>
                <w:sz w:val="20"/>
              </w:rPr>
              <w:t>April 29, 2026</w:t>
            </w:r>
          </w:p>
        </w:tc>
        <w:tc>
          <w:tcPr>
            <w:tcW w:w="29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11.20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65" w:type="dxa"/>
            <w:tcBorders/>
            <w:vAlign w:val="bottom"/>
          </w:tcPr>
          <w:p>
            <w:pPr>
              <w:pStyle w:val="TableContents"/>
              <w:bidi w:val="0"/>
              <w:spacing w:before="0" w:after="283"/>
              <w:jc w:val="right"/>
              <w:rPr/>
            </w:pPr>
            <w:r>
              <w:rPr/>
              <w:t>0.08</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39,228</w:t>
            </w:r>
          </w:p>
        </w:tc>
        <w:tc>
          <w:tcPr>
            <w:tcW w:w="66"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b/>
              </w:rPr>
            </w:pPr>
            <w:r>
              <w:rPr>
                <w:b/>
              </w:rPr>
              <w:t>$</w:t>
            </w:r>
          </w:p>
        </w:tc>
        <w:tc>
          <w:tcPr>
            <w:tcW w:w="1202" w:type="dxa"/>
            <w:tcBorders/>
            <w:shd w:fill="CCEEFF" w:val="clear"/>
            <w:vAlign w:val="bottom"/>
          </w:tcPr>
          <w:p>
            <w:pPr>
              <w:pStyle w:val="TableContents"/>
              <w:bidi w:val="0"/>
              <w:spacing w:before="0" w:after="283"/>
              <w:jc w:val="right"/>
              <w:rPr>
                <w:b/>
              </w:rPr>
            </w:pPr>
            <w:r>
              <w:rPr>
                <w:b/>
              </w:rPr>
              <w:t>2.71</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b/>
              </w:rPr>
            </w:pPr>
            <w:r>
              <w:rPr>
                <w:b/>
              </w:rPr>
              <w:t>3,799,824</w:t>
            </w:r>
          </w:p>
        </w:tc>
        <w:tc>
          <w:tcPr>
            <w:tcW w:w="66"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warrants to acquire 215,000 units consisting of one Common Share and one additional warrant at an exercise price of $0.75CDN. These underlying warrants expire two years from the date of exercise of the primary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Pre-funded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20, 2026, the Company issued pre-funded warrants as part of the Offering. The following table summarizes the pre-funded warrant activity for the period ended March 31,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39"/>
        <w:gridCol w:w="175"/>
        <w:gridCol w:w="60"/>
        <w:gridCol w:w="1003"/>
        <w:gridCol w:w="62"/>
      </w:tblGrid>
      <w:tr>
        <w:trPr/>
        <w:tc>
          <w:tcPr>
            <w:tcW w:w="563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December 31, 2025</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39"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1,428,571</w:t>
            </w:r>
          </w:p>
        </w:tc>
        <w:tc>
          <w:tcPr>
            <w:tcW w:w="62" w:type="dxa"/>
            <w:tcBorders/>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March 31, 2026</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b/>
              </w:rPr>
            </w:pPr>
            <w:r>
              <w:rPr>
                <w:b/>
              </w:rPr>
              <w:t>1,428,571</w:t>
            </w:r>
          </w:p>
        </w:tc>
        <w:tc>
          <w:tcPr>
            <w:tcW w:w="62" w:type="dxa"/>
            <w:tcBorders/>
            <w:shd w:fill="CCEEFF" w:val="clear"/>
            <w:vAlign w:val="bottom"/>
          </w:tcPr>
          <w:p>
            <w:pPr>
              <w:pStyle w:val="TableContents"/>
              <w:bidi w:val="0"/>
              <w:spacing w:before="0" w:after="283"/>
              <w:jc w:val="left"/>
              <w:rPr/>
            </w:pPr>
            <w:r>
              <w:rPr/>
              <w:t> </w:t>
            </w:r>
          </w:p>
        </w:tc>
      </w:tr>
      <w:tr>
        <w:trPr/>
        <w:tc>
          <w:tcPr>
            <w:tcW w:w="563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pre-funded warrant is exercisable for the purchase of one common share at the holder’s discretion at an exercise price of $0.00001, subject to certain post-exercise beneficial ownership limitations as provided under the terms of the pre-funded warrant. Since the pre-funded warrants meet the condition for equity classification, proceeds from issuances of the pre-funded warrants for the three months ended March 31, 2026, of $9,270,238, net of underwriting commissions and offering expenses, are recorded in additional paid-in capital. Upon exercise of the pre-funded warrants, the historical costs recorded in additional paid-in capital along with the exercise price collected from the holder are recorded in common shares. To date, none of the pre-funded warrants have been exercised. The issued pre-funded warrants are included in the basic earnings per share calculation given that the exercise price of $0.00001 is nominal.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OTHER COMPONENTS OF EQUITY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B Non-Voting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31, 2021, the Company entered into a contribution agreement with the Chief Scientific Officer of the Company, and certain of the Company’s subsidiaries (the “Contribution Agreement”). Pursuant to the Contribution Agreement, the Company acquired AMDM Holdings Inc., a corporation wholly-owned by the Chief Scientific Officer, which held 5% of the equity interest in the Company’s subsidiary, Eupraxia USA. In exchange, the Company issued to the Chief Scientific Officer 225 non-voting Class B shares (the “Class B Shares”) in Eupraxia Pharma Inc. representing 5% of the outstanding securities of Eupraxia Pharma. The Company holds the remaining 95% of such securities, which consists of 4,275 voting Class A shares. </w:t>
      </w:r>
    </w:p>
    <w:p>
      <w:pPr>
        <w:pStyle w:val="TextBody"/>
        <w:bidi w:val="0"/>
        <w:spacing w:before="120" w:after="0"/>
        <w:jc w:val="left"/>
        <w:rPr>
          <w:rFonts w:ascii="Times New Roman" w:hAnsi="Times New Roman"/>
          <w:sz w:val="20"/>
        </w:rPr>
      </w:pPr>
      <w:r>
        <w:rPr>
          <w:rFonts w:ascii="Times New Roman" w:hAnsi="Times New Roman"/>
          <w:sz w:val="20"/>
        </w:rPr>
        <w:t xml:space="preserve">Each Class B Share is exchangeable into common shares of the Company based on an exchange rate of 2,500 common shares for each Class B Share, subject to adjustments upon the occurrence of certain events, for a total of 562,500 common shares. The Class B Shares are exchangeable by the Chief Scientific Officer at her election, provided that the Company may force the exchange of the Class B Shares into common shares of the Company at any time on or after January 31, 2031, or on or after January 31, 2026, if the Company is listed on a stock exchange and is a reporting issuer in Canada at such time. The Company may also force the exchange of the Class B Shares into common shares if there is a change of control transaction involving the Company, a change in law which makes the exchange necessary or desirable or if there are a </w:t>
      </w:r>
      <w:r>
        <w:rPr>
          <w:rFonts w:ascii="Times New Roman" w:hAnsi="Times New Roman"/>
          <w:i/>
          <w:sz w:val="20"/>
        </w:rPr>
        <w:t xml:space="preserve">de minimis </w:t>
      </w:r>
      <w:r>
        <w:rPr>
          <w:rFonts w:ascii="Times New Roman" w:hAnsi="Times New Roman"/>
          <w:sz w:val="20"/>
        </w:rPr>
        <w:t xml:space="preserve">number of Class B Shares outstanding. If the Company is listed on a stock exchange at the time of the applicable exchange, the Company may elect to pay the Chief Scientific Officer cash in lieu of issuing common shares, with such cash amount to be determined based on the then current market price of the common shares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Earnings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reported net losses for each of the three months ended March 31, 2026 and 2025, and therefore excluded all potentially dilutive outstanding securities (warrants, stock options and RSU) from the computation of diluted net loss per common share as their inclusion would have had an anti-dilutive effect. The pre-funded warrants are included from the computation of diluted net loss per common share. As a result of the Preferred Shares being classified as increasing rate preferred stock with dividends not being declared until the third anniversary of closing of the Private Placement, the Company has calculated an implied dividend in determining the loss attributable to common shareholders. The impact on loss per share on the Consolidated Statements of Operations and Comprehensive Loss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3"/>
        <w:gridCol w:w="238"/>
        <w:gridCol w:w="144"/>
        <w:gridCol w:w="1232"/>
        <w:gridCol w:w="155"/>
        <w:gridCol w:w="201"/>
        <w:gridCol w:w="144"/>
        <w:gridCol w:w="1138"/>
        <w:gridCol w:w="160"/>
      </w:tblGrid>
      <w:tr>
        <w:trPr/>
        <w:tc>
          <w:tcPr>
            <w:tcW w:w="434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Three Months ended March 31,</w:t>
            </w:r>
          </w:p>
        </w:tc>
        <w:tc>
          <w:tcPr>
            <w:tcW w:w="238"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attributable to the Owners of the Company</w:t>
            </w:r>
          </w:p>
        </w:tc>
        <w:tc>
          <w:tcPr>
            <w:tcW w:w="23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(12,629,888</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(6,762,608</w:t>
            </w:r>
          </w:p>
        </w:tc>
        <w:tc>
          <w:tcPr>
            <w:tcW w:w="160" w:type="dxa"/>
            <w:tcBorders/>
            <w:shd w:fill="CCEEFF" w:val="clear"/>
            <w:vAlign w:val="bottom"/>
          </w:tcPr>
          <w:p>
            <w:pPr>
              <w:pStyle w:val="TableContents"/>
              <w:bidi w:val="0"/>
              <w:spacing w:before="0" w:after="283"/>
              <w:jc w:val="left"/>
              <w:rPr/>
            </w:pPr>
            <w:r>
              <w:rPr/>
              <w:t>) </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Less: implied dividend on Preferred Shares</w:t>
            </w:r>
          </w:p>
        </w:tc>
        <w:tc>
          <w:tcPr>
            <w:tcW w:w="23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603,574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620,515</w:t>
            </w:r>
          </w:p>
        </w:tc>
        <w:tc>
          <w:tcPr>
            <w:tcW w:w="160" w:type="dxa"/>
            <w:tcBorders/>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Loss attributable to the Owners of the Company</w:t>
            </w:r>
          </w:p>
        </w:tc>
        <w:tc>
          <w:tcPr>
            <w:tcW w:w="23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(13,233,462</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(7,383,123</w:t>
            </w:r>
          </w:p>
        </w:tc>
        <w:tc>
          <w:tcPr>
            <w:tcW w:w="160" w:type="dxa"/>
            <w:tcBorders/>
            <w:shd w:fill="CCEEFF" w:val="clear"/>
            <w:vAlign w:val="bottom"/>
          </w:tcPr>
          <w:p>
            <w:pPr>
              <w:pStyle w:val="TableContents"/>
              <w:bidi w:val="0"/>
              <w:spacing w:before="0" w:after="283"/>
              <w:jc w:val="left"/>
              <w:rPr/>
            </w:pPr>
            <w:r>
              <w:rPr/>
              <w:t>) </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23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56,093,577</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35,686,256</w:t>
            </w:r>
          </w:p>
        </w:tc>
        <w:tc>
          <w:tcPr>
            <w:tcW w:w="160" w:type="dxa"/>
            <w:tcBorders/>
            <w:vAlign w:val="bottom"/>
          </w:tcPr>
          <w:p>
            <w:pPr>
              <w:pStyle w:val="TableContents"/>
              <w:bidi w:val="0"/>
              <w:spacing w:before="0" w:after="283"/>
              <w:jc w:val="left"/>
              <w:rPr/>
            </w:pPr>
            <w:r>
              <w:rPr/>
              <w:t> </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pre-funded warrants outstanding</w:t>
            </w:r>
          </w:p>
        </w:tc>
        <w:tc>
          <w:tcPr>
            <w:tcW w:w="23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619,047</w:t>
            </w:r>
          </w:p>
        </w:tc>
        <w:tc>
          <w:tcPr>
            <w:tcW w:w="155"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343" w:type="dxa"/>
            <w:tcBorders/>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56,712,624</w:t>
            </w:r>
          </w:p>
        </w:tc>
        <w:tc>
          <w:tcPr>
            <w:tcW w:w="155"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35,686,256</w:t>
            </w:r>
          </w:p>
        </w:tc>
        <w:tc>
          <w:tcPr>
            <w:tcW w:w="160" w:type="dxa"/>
            <w:tcBorders/>
            <w:vAlign w:val="bottom"/>
          </w:tcPr>
          <w:p>
            <w:pPr>
              <w:pStyle w:val="TableContents"/>
              <w:bidi w:val="0"/>
              <w:spacing w:before="0" w:after="283"/>
              <w:jc w:val="left"/>
              <w:rPr/>
            </w:pPr>
            <w:r>
              <w:rPr/>
              <w:t> </w:t>
            </w:r>
          </w:p>
        </w:tc>
      </w:tr>
      <w:tr>
        <w:trPr/>
        <w:tc>
          <w:tcPr>
            <w:tcW w:w="43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per Share - Basic and Diluted (Owners of the Company)</w:t>
            </w:r>
          </w:p>
        </w:tc>
        <w:tc>
          <w:tcPr>
            <w:tcW w:w="23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232" w:type="dxa"/>
            <w:tcBorders/>
            <w:shd w:fill="CCEEFF" w:val="clear"/>
            <w:vAlign w:val="bottom"/>
          </w:tcPr>
          <w:p>
            <w:pPr>
              <w:pStyle w:val="TableContents"/>
              <w:bidi w:val="0"/>
              <w:spacing w:before="0" w:after="283"/>
              <w:jc w:val="right"/>
              <w:rPr>
                <w:b/>
              </w:rPr>
            </w:pPr>
            <w:r>
              <w:rPr>
                <w:b/>
              </w:rPr>
              <w:t>(0.23</w:t>
            </w:r>
          </w:p>
        </w:tc>
        <w:tc>
          <w:tcPr>
            <w:tcW w:w="155" w:type="dxa"/>
            <w:tcBorders/>
            <w:shd w:fill="CCEEFF" w:val="clear"/>
            <w:vAlign w:val="bottom"/>
          </w:tcPr>
          <w:p>
            <w:pPr>
              <w:pStyle w:val="TableContents"/>
              <w:bidi w:val="0"/>
              <w:spacing w:before="0" w:after="283"/>
              <w:jc w:val="left"/>
              <w:rPr>
                <w:b/>
              </w:rPr>
            </w:pPr>
            <w:r>
              <w:rPr>
                <w:b/>
              </w:rPr>
              <w:t>) </w:t>
            </w:r>
          </w:p>
        </w:tc>
        <w:tc>
          <w:tcPr>
            <w:tcW w:w="20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1138" w:type="dxa"/>
            <w:tcBorders/>
            <w:shd w:fill="CCEEFF" w:val="clear"/>
            <w:vAlign w:val="bottom"/>
          </w:tcPr>
          <w:p>
            <w:pPr>
              <w:pStyle w:val="TableContents"/>
              <w:bidi w:val="0"/>
              <w:spacing w:before="0" w:after="283"/>
              <w:jc w:val="right"/>
              <w:rPr>
                <w:b/>
              </w:rPr>
            </w:pPr>
            <w:r>
              <w:rPr>
                <w:b/>
              </w:rPr>
              <w:t>(0.21</w:t>
            </w:r>
          </w:p>
        </w:tc>
        <w:tc>
          <w:tcPr>
            <w:tcW w:w="160" w:type="dxa"/>
            <w:tcBorders/>
            <w:shd w:fill="CCEEFF" w:val="clear"/>
            <w:vAlign w:val="bottom"/>
          </w:tcPr>
          <w:p>
            <w:pPr>
              <w:pStyle w:val="TableContents"/>
              <w:bidi w:val="0"/>
              <w:spacing w:before="0" w:after="283"/>
              <w:jc w:val="left"/>
              <w:rPr>
                <w:b/>
              </w:rPr>
            </w:pPr>
            <w:r>
              <w:rPr>
                <w:b/>
              </w:rPr>
              <w:t>) </w:t>
            </w:r>
          </w:p>
        </w:tc>
      </w:tr>
      <w:tr>
        <w:trPr/>
        <w:tc>
          <w:tcPr>
            <w:tcW w:w="434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AND ADMINISTRATIVE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are comprised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3"/>
        <w:gridCol w:w="301"/>
        <w:gridCol w:w="140"/>
        <w:gridCol w:w="987"/>
        <w:gridCol w:w="60"/>
        <w:gridCol w:w="301"/>
        <w:gridCol w:w="140"/>
        <w:gridCol w:w="987"/>
        <w:gridCol w:w="66"/>
      </w:tblGrid>
      <w:tr>
        <w:trPr/>
        <w:tc>
          <w:tcPr>
            <w:tcW w:w="4773"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Three Months ended March 31,</w:t>
            </w:r>
          </w:p>
        </w:tc>
        <w:tc>
          <w:tcPr>
            <w:tcW w:w="30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Office expenses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677,089</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240,116</w:t>
            </w:r>
          </w:p>
        </w:tc>
        <w:tc>
          <w:tcPr>
            <w:tcW w:w="66"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242,349</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261,223</w:t>
            </w:r>
          </w:p>
        </w:tc>
        <w:tc>
          <w:tcPr>
            <w:tcW w:w="66"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Travel</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127,510</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77,574</w:t>
            </w:r>
          </w:p>
        </w:tc>
        <w:tc>
          <w:tcPr>
            <w:tcW w:w="66"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574,726</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447,450</w:t>
            </w:r>
          </w:p>
        </w:tc>
        <w:tc>
          <w:tcPr>
            <w:tcW w:w="66"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company costs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317,986</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411,067</w:t>
            </w:r>
          </w:p>
        </w:tc>
        <w:tc>
          <w:tcPr>
            <w:tcW w:w="66"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1,534,877</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709,931</w:t>
            </w:r>
          </w:p>
        </w:tc>
        <w:tc>
          <w:tcPr>
            <w:tcW w:w="66"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based payments (Note 11(d)(iii) and 11(d)(v))</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1,308,552</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1,127,033</w:t>
            </w:r>
          </w:p>
        </w:tc>
        <w:tc>
          <w:tcPr>
            <w:tcW w:w="66"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7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expenses during the period</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b/>
              </w:rPr>
            </w:pPr>
            <w:r>
              <w:rPr>
                <w:b/>
              </w:rPr>
              <w:t>4,783,089</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7" w:type="dxa"/>
            <w:tcBorders/>
            <w:vAlign w:val="bottom"/>
          </w:tcPr>
          <w:p>
            <w:pPr>
              <w:pStyle w:val="TableContents"/>
              <w:bidi w:val="0"/>
              <w:spacing w:before="0" w:after="283"/>
              <w:jc w:val="right"/>
              <w:rPr>
                <w:b/>
              </w:rPr>
            </w:pPr>
            <w:r>
              <w:rPr>
                <w:b/>
              </w:rPr>
              <w:t>3,274,394</w:t>
            </w:r>
          </w:p>
        </w:tc>
        <w:tc>
          <w:tcPr>
            <w:tcW w:w="66"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RESEARCH AND DEVELOPMENT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are comprised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35"/>
        <w:gridCol w:w="258"/>
        <w:gridCol w:w="140"/>
        <w:gridCol w:w="1113"/>
        <w:gridCol w:w="60"/>
        <w:gridCol w:w="258"/>
        <w:gridCol w:w="140"/>
        <w:gridCol w:w="986"/>
        <w:gridCol w:w="65"/>
      </w:tblGrid>
      <w:tr>
        <w:trPr/>
        <w:tc>
          <w:tcPr>
            <w:tcW w:w="473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Three Months ended March 31,</w:t>
            </w:r>
          </w:p>
        </w:tc>
        <w:tc>
          <w:tcPr>
            <w:tcW w:w="258"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Preclinical</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490,387</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231,277</w:t>
            </w:r>
          </w:p>
        </w:tc>
        <w:tc>
          <w:tcPr>
            <w:tcW w:w="65"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Clinical</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4,106,646</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704,085</w:t>
            </w:r>
          </w:p>
        </w:tc>
        <w:tc>
          <w:tcPr>
            <w:tcW w:w="65"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Manufacturing &amp; analytical</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3,313,805</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1,312,645</w:t>
            </w:r>
          </w:p>
        </w:tc>
        <w:tc>
          <w:tcPr>
            <w:tcW w:w="65"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Regulatory</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15,327</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2,182</w:t>
            </w:r>
          </w:p>
        </w:tc>
        <w:tc>
          <w:tcPr>
            <w:tcW w:w="65"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 research and development</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7,926,165</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2,250,189</w:t>
            </w:r>
          </w:p>
        </w:tc>
        <w:tc>
          <w:tcPr>
            <w:tcW w:w="65"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Pipeline Development</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932</w:t>
            </w:r>
          </w:p>
        </w:tc>
        <w:tc>
          <w:tcPr>
            <w:tcW w:w="65"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738,836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283,055</w:t>
            </w:r>
          </w:p>
        </w:tc>
        <w:tc>
          <w:tcPr>
            <w:tcW w:w="65" w:type="dxa"/>
            <w:tcBorders/>
            <w:shd w:fill="CCEEFF" w:val="clear"/>
            <w:vAlign w:val="bottom"/>
          </w:tcPr>
          <w:p>
            <w:pPr>
              <w:pStyle w:val="TableContents"/>
              <w:bidi w:val="0"/>
              <w:spacing w:before="0" w:after="283"/>
              <w:jc w:val="left"/>
              <w:rPr/>
            </w:pPr>
            <w:r>
              <w:rPr/>
              <w:t> </w:t>
            </w:r>
          </w:p>
        </w:tc>
      </w:tr>
      <w:tr>
        <w:trPr/>
        <w:tc>
          <w:tcPr>
            <w:tcW w:w="4735" w:type="dxa"/>
            <w:tcBorders/>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1,564,651</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949,276</w:t>
            </w:r>
          </w:p>
        </w:tc>
        <w:tc>
          <w:tcPr>
            <w:tcW w:w="65" w:type="dxa"/>
            <w:tcBorders/>
            <w:vAlign w:val="bottom"/>
          </w:tcPr>
          <w:p>
            <w:pPr>
              <w:pStyle w:val="TableContents"/>
              <w:bidi w:val="0"/>
              <w:spacing w:before="0" w:after="283"/>
              <w:jc w:val="left"/>
              <w:rPr/>
            </w:pPr>
            <w:r>
              <w:rPr/>
              <w:t> </w:t>
            </w:r>
          </w:p>
        </w:tc>
      </w:tr>
      <w:tr>
        <w:trPr/>
        <w:tc>
          <w:tcPr>
            <w:tcW w:w="47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based payments (Note 11d(iii) and 11d(v))</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944,304</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366,374</w:t>
            </w:r>
          </w:p>
        </w:tc>
        <w:tc>
          <w:tcPr>
            <w:tcW w:w="65" w:type="dxa"/>
            <w:tcBorders/>
            <w:shd w:fill="CCEEFF" w:val="clear"/>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expenses during the period</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3" w:type="dxa"/>
            <w:tcBorders/>
            <w:vAlign w:val="bottom"/>
          </w:tcPr>
          <w:p>
            <w:pPr>
              <w:pStyle w:val="TableContents"/>
              <w:bidi w:val="0"/>
              <w:spacing w:before="0" w:after="283"/>
              <w:jc w:val="right"/>
              <w:rPr>
                <w:b/>
              </w:rPr>
            </w:pPr>
            <w:r>
              <w:rPr>
                <w:b/>
              </w:rPr>
              <w:t>11,173,956</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6" w:type="dxa"/>
            <w:tcBorders/>
            <w:vAlign w:val="bottom"/>
          </w:tcPr>
          <w:p>
            <w:pPr>
              <w:pStyle w:val="TableContents"/>
              <w:bidi w:val="0"/>
              <w:spacing w:before="0" w:after="283"/>
              <w:jc w:val="right"/>
              <w:rPr>
                <w:b/>
              </w:rPr>
            </w:pPr>
            <w:r>
              <w:rPr>
                <w:b/>
              </w:rPr>
              <w:t>3,849,826</w:t>
            </w:r>
          </w:p>
        </w:tc>
        <w:tc>
          <w:tcPr>
            <w:tcW w:w="65" w:type="dxa"/>
            <w:tcBorders/>
            <w:vAlign w:val="bottom"/>
          </w:tcPr>
          <w:p>
            <w:pPr>
              <w:pStyle w:val="TableContents"/>
              <w:bidi w:val="0"/>
              <w:spacing w:before="0" w:after="283"/>
              <w:jc w:val="left"/>
              <w:rPr/>
            </w:pPr>
            <w:r>
              <w:rPr/>
              <w:t> </w:t>
            </w:r>
          </w:p>
        </w:tc>
      </w:tr>
      <w:tr>
        <w:trPr/>
        <w:tc>
          <w:tcPr>
            <w:tcW w:w="473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outlined in Note 9 – Lease Liability, the Company had entered into a lease extension on May 13, 2024. On July 15, 2025, a second lease extension was signed whereby the Company renewed its lease for its Victoria, BC facility for an additional twelve months commencing December 1, 2025 and ending November 30, 2026. The total variable lease expenses for the remaining term of the lease is anticipated to be $47,768. This amount is subject to adjustment at the end of each lease year based on actual costs incurred and does not reflect the impact of the additional twelve-month renewal that would commence December 1,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the Company entered into a lease agreement on February 2, 2026. The lease is 5-year term agreement with the option to extend the lease for an additional 5-year term. The total variable lease expenses for the current term is estimated to be $453,841. This amount is subject to adjustment at the end of each lease year base on actual costs incurred and does not reflect the impact of the additional 60-month extension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be required to make milestone, royalty, and other research and development funding payments under agreements with third parties (see Note 10 – Auritec License Agreement). These payments are contingent upon the achievement of specific development, regulatory and/or commercial milestones. The Company has not accrued these payments as at March 31, 2026 due to the uncertainty over whether these milestones will be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Eupraxia has entered into a number of service contracts with its vendors. Some of those contracts have cancellation clauses which state Eupraxia would pay a cancellation fee of between 15% and 100% of the next service milestone if it terminates the contract. As of March 31, 2026, there have been no cancellation of contracts that would trigger a cancellation fee.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entered into service agreements with third parties that include indemnification provisions that are customary in the industry. These indemnification provisions generally require the Company to compensate the other party for certain damages and costs incurred as a result of third-party claims or damages arising from these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maximum amount of potential future indemnification is unlimited; however, the Company currently holds commercial general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SEGMENTED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operates as a single reportable segment with the CODM being the Company’s Chief Executive Officer who manages the Company’s operations on a consolidated basis. The accounting policies of the segment are the same as those described in the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does not currently generate revenue, the CODM assesses Company performance through the achievement of pre-clinical and clinical research goals while evaluating the Company’s performance and allocates resources to the operations of the Company on a total company basis. This enables the CEO to assess the overall level of resources available and how to best deploy these resources. </w:t>
      </w:r>
    </w:p>
    <w:p>
      <w:pPr>
        <w:pStyle w:val="TextBody"/>
        <w:bidi w:val="0"/>
        <w:spacing w:before="120" w:after="0"/>
        <w:jc w:val="left"/>
        <w:rPr>
          <w:rFonts w:ascii="Times New Roman" w:hAnsi="Times New Roman"/>
          <w:sz w:val="20"/>
        </w:rPr>
      </w:pPr>
      <w:r>
        <w:rPr>
          <w:rFonts w:ascii="Times New Roman" w:hAnsi="Times New Roman"/>
          <w:sz w:val="20"/>
        </w:rPr>
        <w:t xml:space="preserve">The CODM uses net loss to monitor budget versus actual results and to analyze cash flows in assessing performance of the segment and allocating resources. The measure of segment assets is reported on the consolidated balance sheet as total consolidated assets, with a majority of these assets located in Canada.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SEGMENTED INFORMATION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information about significant segment expenses and segment loss: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36"/>
        <w:gridCol w:w="257"/>
        <w:gridCol w:w="140"/>
        <w:gridCol w:w="1185"/>
        <w:gridCol w:w="160"/>
        <w:gridCol w:w="197"/>
        <w:gridCol w:w="140"/>
        <w:gridCol w:w="1107"/>
        <w:gridCol w:w="166"/>
      </w:tblGrid>
      <w:tr>
        <w:trPr/>
        <w:tc>
          <w:tcPr>
            <w:tcW w:w="6036"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0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Three Months ended March 31,</w:t>
            </w:r>
          </w:p>
        </w:tc>
        <w:tc>
          <w:tcPr>
            <w:tcW w:w="257"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6" w:type="dxa"/>
            <w:tcBorders/>
            <w:vAlign w:val="bottom"/>
          </w:tcPr>
          <w:p>
            <w:pPr>
              <w:pStyle w:val="TableContents"/>
              <w:bidi w:val="0"/>
              <w:spacing w:before="0" w:after="283"/>
              <w:jc w:val="left"/>
              <w:rPr/>
            </w:pPr>
            <w:r>
              <w:rPr/>
              <w:t> </w:t>
            </w:r>
          </w:p>
        </w:tc>
      </w:tr>
      <w:tr>
        <w:trPr/>
        <w:tc>
          <w:tcPr>
            <w:tcW w:w="6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external research and development costs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6036" w:type="dxa"/>
            <w:tcBorders/>
          </w:tcPr>
          <w:p>
            <w:pPr>
              <w:pStyle w:val="TableContents"/>
              <w:bidi w:val="0"/>
              <w:spacing w:before="0" w:after="0"/>
              <w:jc w:val="left"/>
              <w:rPr>
                <w:rFonts w:ascii="Times New Roman" w:hAnsi="Times New Roman"/>
                <w:sz w:val="20"/>
              </w:rPr>
            </w:pPr>
            <w:r>
              <w:rPr>
                <w:rFonts w:ascii="Times New Roman" w:hAnsi="Times New Roman"/>
                <w:sz w:val="20"/>
              </w:rPr>
              <w:t>EP-104IAR</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5,584</w:t>
            </w:r>
          </w:p>
        </w:tc>
        <w:tc>
          <w:tcPr>
            <w:tcW w:w="1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9,764</w:t>
            </w:r>
          </w:p>
        </w:tc>
        <w:tc>
          <w:tcPr>
            <w:tcW w:w="166" w:type="dxa"/>
            <w:tcBorders/>
            <w:vAlign w:val="bottom"/>
          </w:tcPr>
          <w:p>
            <w:pPr>
              <w:pStyle w:val="TableContents"/>
              <w:bidi w:val="0"/>
              <w:spacing w:before="0" w:after="283"/>
              <w:jc w:val="left"/>
              <w:rPr/>
            </w:pPr>
            <w:r>
              <w:rPr/>
              <w:t> </w:t>
            </w:r>
          </w:p>
        </w:tc>
      </w:tr>
      <w:tr>
        <w:trPr/>
        <w:tc>
          <w:tcPr>
            <w:tcW w:w="6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EP-104GI</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7,430,194</w:t>
            </w:r>
          </w:p>
        </w:tc>
        <w:tc>
          <w:tcPr>
            <w:tcW w:w="1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1,982,822</w:t>
            </w:r>
          </w:p>
        </w:tc>
        <w:tc>
          <w:tcPr>
            <w:tcW w:w="166" w:type="dxa"/>
            <w:tcBorders/>
            <w:shd w:fill="CCEEFF" w:val="clear"/>
            <w:vAlign w:val="bottom"/>
          </w:tcPr>
          <w:p>
            <w:pPr>
              <w:pStyle w:val="TableContents"/>
              <w:bidi w:val="0"/>
              <w:spacing w:before="0" w:after="283"/>
              <w:jc w:val="left"/>
              <w:rPr/>
            </w:pPr>
            <w:r>
              <w:rPr/>
              <w:t> </w:t>
            </w:r>
          </w:p>
        </w:tc>
      </w:tr>
      <w:tr>
        <w:trPr/>
        <w:tc>
          <w:tcPr>
            <w:tcW w:w="6036" w:type="dxa"/>
            <w:tcBorders/>
          </w:tcPr>
          <w:p>
            <w:pPr>
              <w:pStyle w:val="TableContents"/>
              <w:bidi w:val="0"/>
              <w:spacing w:before="0" w:after="0"/>
              <w:jc w:val="left"/>
              <w:rPr>
                <w:rFonts w:ascii="Times New Roman" w:hAnsi="Times New Roman"/>
                <w:sz w:val="20"/>
              </w:rPr>
            </w:pPr>
            <w:r>
              <w:rPr>
                <w:rFonts w:ascii="Times New Roman" w:hAnsi="Times New Roman"/>
                <w:sz w:val="20"/>
              </w:rPr>
              <w:t>Pre-clinical</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490,387</w:t>
            </w:r>
          </w:p>
        </w:tc>
        <w:tc>
          <w:tcPr>
            <w:tcW w:w="1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258,536</w:t>
            </w:r>
          </w:p>
        </w:tc>
        <w:tc>
          <w:tcPr>
            <w:tcW w:w="166" w:type="dxa"/>
            <w:tcBorders/>
            <w:vAlign w:val="bottom"/>
          </w:tcPr>
          <w:p>
            <w:pPr>
              <w:pStyle w:val="TableContents"/>
              <w:bidi w:val="0"/>
              <w:spacing w:before="0" w:after="283"/>
              <w:jc w:val="left"/>
              <w:rPr/>
            </w:pPr>
            <w:r>
              <w:rPr/>
              <w:t> </w:t>
            </w:r>
          </w:p>
        </w:tc>
      </w:tr>
      <w:tr>
        <w:trPr/>
        <w:tc>
          <w:tcPr>
            <w:tcW w:w="6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3,099,528</w:t>
            </w:r>
          </w:p>
        </w:tc>
        <w:tc>
          <w:tcPr>
            <w:tcW w:w="1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1,659,207</w:t>
            </w:r>
          </w:p>
        </w:tc>
        <w:tc>
          <w:tcPr>
            <w:tcW w:w="166" w:type="dxa"/>
            <w:tcBorders/>
            <w:shd w:fill="CCEEFF" w:val="clear"/>
            <w:vAlign w:val="bottom"/>
          </w:tcPr>
          <w:p>
            <w:pPr>
              <w:pStyle w:val="TableContents"/>
              <w:bidi w:val="0"/>
              <w:spacing w:before="0" w:after="283"/>
              <w:jc w:val="left"/>
              <w:rPr/>
            </w:pPr>
            <w:r>
              <w:rPr/>
              <w:t> </w:t>
            </w:r>
          </w:p>
        </w:tc>
      </w:tr>
      <w:tr>
        <w:trPr/>
        <w:tc>
          <w:tcPr>
            <w:tcW w:w="6036" w:type="dxa"/>
            <w:tcBorders/>
          </w:tcPr>
          <w:p>
            <w:pPr>
              <w:pStyle w:val="TableContents"/>
              <w:bidi w:val="0"/>
              <w:spacing w:before="0" w:after="0"/>
              <w:jc w:val="left"/>
              <w:rPr>
                <w:rFonts w:ascii="Times New Roman" w:hAnsi="Times New Roman"/>
                <w:sz w:val="20"/>
              </w:rPr>
            </w:pPr>
            <w:r>
              <w:rPr>
                <w:rFonts w:ascii="Times New Roman" w:hAnsi="Times New Roman"/>
                <w:sz w:val="20"/>
              </w:rPr>
              <w:t>Share based payments</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2,252,856</w:t>
            </w:r>
          </w:p>
        </w:tc>
        <w:tc>
          <w:tcPr>
            <w:tcW w:w="1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1,493,407</w:t>
            </w:r>
          </w:p>
        </w:tc>
        <w:tc>
          <w:tcPr>
            <w:tcW w:w="166" w:type="dxa"/>
            <w:tcBorders/>
            <w:vAlign w:val="bottom"/>
          </w:tcPr>
          <w:p>
            <w:pPr>
              <w:pStyle w:val="TableContents"/>
              <w:bidi w:val="0"/>
              <w:spacing w:before="0" w:after="283"/>
              <w:jc w:val="left"/>
              <w:rPr/>
            </w:pPr>
            <w:r>
              <w:rPr/>
              <w:t> </w:t>
            </w:r>
          </w:p>
        </w:tc>
      </w:tr>
      <w:tr>
        <w:trPr/>
        <w:tc>
          <w:tcPr>
            <w:tcW w:w="6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expenses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738,836</w:t>
            </w:r>
          </w:p>
        </w:tc>
        <w:tc>
          <w:tcPr>
            <w:tcW w:w="1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283,054</w:t>
            </w:r>
          </w:p>
        </w:tc>
        <w:tc>
          <w:tcPr>
            <w:tcW w:w="166" w:type="dxa"/>
            <w:tcBorders/>
            <w:shd w:fill="CCEEFF" w:val="clear"/>
            <w:vAlign w:val="bottom"/>
          </w:tcPr>
          <w:p>
            <w:pPr>
              <w:pStyle w:val="TableContents"/>
              <w:bidi w:val="0"/>
              <w:spacing w:before="0" w:after="283"/>
              <w:jc w:val="left"/>
              <w:rPr/>
            </w:pPr>
            <w:r>
              <w:rPr/>
              <w:t> </w:t>
            </w:r>
          </w:p>
        </w:tc>
      </w:tr>
      <w:tr>
        <w:trPr/>
        <w:tc>
          <w:tcPr>
            <w:tcW w:w="6036" w:type="dxa"/>
            <w:tcBorders/>
          </w:tcPr>
          <w:p>
            <w:pPr>
              <w:pStyle w:val="TableContents"/>
              <w:bidi w:val="0"/>
              <w:spacing w:before="0" w:after="0"/>
              <w:jc w:val="left"/>
              <w:rPr>
                <w:rFonts w:ascii="Times New Roman" w:hAnsi="Times New Roman"/>
                <w:sz w:val="20"/>
              </w:rPr>
            </w:pPr>
            <w:r>
              <w:rPr>
                <w:rFonts w:ascii="Times New Roman" w:hAnsi="Times New Roman"/>
                <w:sz w:val="20"/>
              </w:rPr>
              <w:t>Other General and Administrative expenses</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1,939,660</w:t>
            </w:r>
          </w:p>
        </w:tc>
        <w:tc>
          <w:tcPr>
            <w:tcW w:w="1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1,437,430</w:t>
            </w:r>
          </w:p>
        </w:tc>
        <w:tc>
          <w:tcPr>
            <w:tcW w:w="166" w:type="dxa"/>
            <w:tcBorders/>
            <w:vAlign w:val="bottom"/>
          </w:tcPr>
          <w:p>
            <w:pPr>
              <w:pStyle w:val="TableContents"/>
              <w:bidi w:val="0"/>
              <w:spacing w:before="0" w:after="283"/>
              <w:jc w:val="left"/>
              <w:rPr/>
            </w:pPr>
            <w:r>
              <w:rPr/>
              <w:t> </w:t>
            </w:r>
          </w:p>
        </w:tc>
      </w:tr>
      <w:tr>
        <w:trPr/>
        <w:tc>
          <w:tcPr>
            <w:tcW w:w="6036"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6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segment expenses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15,957,045</w:t>
            </w:r>
          </w:p>
        </w:tc>
        <w:tc>
          <w:tcPr>
            <w:tcW w:w="1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7,124,220</w:t>
            </w:r>
          </w:p>
        </w:tc>
        <w:tc>
          <w:tcPr>
            <w:tcW w:w="166" w:type="dxa"/>
            <w:tcBorders/>
            <w:shd w:fill="CCEEFF" w:val="clear"/>
            <w:vAlign w:val="bottom"/>
          </w:tcPr>
          <w:p>
            <w:pPr>
              <w:pStyle w:val="TableContents"/>
              <w:bidi w:val="0"/>
              <w:spacing w:before="0" w:after="283"/>
              <w:jc w:val="left"/>
              <w:rPr/>
            </w:pPr>
            <w:r>
              <w:rPr/>
              <w:t> </w:t>
            </w:r>
          </w:p>
        </w:tc>
      </w:tr>
      <w:tr>
        <w:trPr/>
        <w:tc>
          <w:tcPr>
            <w:tcW w:w="6036" w:type="dxa"/>
            <w:tcBorders/>
          </w:tcPr>
          <w:p>
            <w:pPr>
              <w:pStyle w:val="TableContents"/>
              <w:bidi w:val="0"/>
              <w:spacing w:before="0" w:after="0"/>
              <w:jc w:val="left"/>
              <w:rPr>
                <w:rFonts w:ascii="Times New Roman" w:hAnsi="Times New Roman"/>
                <w:sz w:val="20"/>
              </w:rPr>
            </w:pPr>
            <w:r>
              <w:rPr>
                <w:rFonts w:ascii="Times New Roman" w:hAnsi="Times New Roman"/>
                <w:sz w:val="20"/>
              </w:rPr>
              <w:t>Reconciling items:</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6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1,074,072</w:t>
            </w:r>
          </w:p>
        </w:tc>
        <w:tc>
          <w:tcPr>
            <w:tcW w:w="1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309,452</w:t>
            </w:r>
          </w:p>
        </w:tc>
        <w:tc>
          <w:tcPr>
            <w:tcW w:w="166" w:type="dxa"/>
            <w:tcBorders/>
            <w:shd w:fill="CCEEFF" w:val="clear"/>
            <w:vAlign w:val="bottom"/>
          </w:tcPr>
          <w:p>
            <w:pPr>
              <w:pStyle w:val="TableContents"/>
              <w:bidi w:val="0"/>
              <w:spacing w:before="0" w:after="283"/>
              <w:jc w:val="left"/>
              <w:rPr/>
            </w:pPr>
            <w:r>
              <w:rPr/>
              <w:t> </w:t>
            </w:r>
          </w:p>
        </w:tc>
      </w:tr>
      <w:tr>
        <w:trPr/>
        <w:tc>
          <w:tcPr>
            <w:tcW w:w="6036"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sale of equipment</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(1,075</w:t>
            </w:r>
          </w:p>
        </w:tc>
        <w:tc>
          <w:tcPr>
            <w:tcW w:w="166" w:type="dxa"/>
            <w:tcBorders/>
            <w:vAlign w:val="bottom"/>
          </w:tcPr>
          <w:p>
            <w:pPr>
              <w:pStyle w:val="TableContents"/>
              <w:bidi w:val="0"/>
              <w:spacing w:before="0" w:after="283"/>
              <w:jc w:val="left"/>
              <w:rPr/>
            </w:pPr>
            <w:r>
              <w:rPr/>
              <w:t>) </w:t>
            </w:r>
          </w:p>
        </w:tc>
      </w:tr>
      <w:tr>
        <w:trPr/>
        <w:tc>
          <w:tcPr>
            <w:tcW w:w="6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2,242,032</w:t>
            </w:r>
          </w:p>
        </w:tc>
        <w:tc>
          <w:tcPr>
            <w:tcW w:w="1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51,362</w:t>
            </w:r>
          </w:p>
        </w:tc>
        <w:tc>
          <w:tcPr>
            <w:tcW w:w="166" w:type="dxa"/>
            <w:tcBorders/>
            <w:shd w:fill="CCEEFF" w:val="clear"/>
            <w:vAlign w:val="bottom"/>
          </w:tcPr>
          <w:p>
            <w:pPr>
              <w:pStyle w:val="TableContents"/>
              <w:bidi w:val="0"/>
              <w:spacing w:before="0" w:after="283"/>
              <w:jc w:val="left"/>
              <w:rPr/>
            </w:pPr>
            <w:r>
              <w:rPr/>
              <w:t> </w:t>
            </w:r>
          </w:p>
        </w:tc>
      </w:tr>
      <w:tr>
        <w:trPr/>
        <w:tc>
          <w:tcPr>
            <w:tcW w:w="6036" w:type="dxa"/>
            <w:tcBorders/>
          </w:tcPr>
          <w:p>
            <w:pPr>
              <w:pStyle w:val="TableContents"/>
              <w:bidi w:val="0"/>
              <w:spacing w:before="0" w:after="0"/>
              <w:jc w:val="left"/>
              <w:rPr>
                <w:rFonts w:ascii="Times New Roman" w:hAnsi="Times New Roman"/>
                <w:sz w:val="20"/>
              </w:rPr>
            </w:pPr>
            <w:r>
              <w:rPr>
                <w:rFonts w:ascii="Times New Roman" w:hAnsi="Times New Roman"/>
                <w:sz w:val="20"/>
              </w:rPr>
              <w:t>Tax expense</w:t>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(13,905</w:t>
            </w:r>
          </w:p>
        </w:tc>
        <w:tc>
          <w:tcPr>
            <w:tcW w:w="1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(2,794</w:t>
            </w:r>
          </w:p>
        </w:tc>
        <w:tc>
          <w:tcPr>
            <w:tcW w:w="166" w:type="dxa"/>
            <w:tcBorders/>
            <w:vAlign w:val="bottom"/>
          </w:tcPr>
          <w:p>
            <w:pPr>
              <w:pStyle w:val="TableContents"/>
              <w:bidi w:val="0"/>
              <w:spacing w:before="0" w:after="283"/>
              <w:jc w:val="left"/>
              <w:rPr/>
            </w:pPr>
            <w:r>
              <w:rPr/>
              <w:t>) </w:t>
            </w:r>
          </w:p>
        </w:tc>
      </w:tr>
      <w:tr>
        <w:trPr/>
        <w:tc>
          <w:tcPr>
            <w:tcW w:w="6036"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60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for the period</w:t>
            </w:r>
          </w:p>
        </w:tc>
        <w:tc>
          <w:tcPr>
            <w:tcW w:w="2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5" w:type="dxa"/>
            <w:tcBorders/>
            <w:shd w:fill="CCEEFF" w:val="clear"/>
            <w:vAlign w:val="bottom"/>
          </w:tcPr>
          <w:p>
            <w:pPr>
              <w:pStyle w:val="TableContents"/>
              <w:bidi w:val="0"/>
              <w:spacing w:before="0" w:after="283"/>
              <w:jc w:val="right"/>
              <w:rPr>
                <w:b/>
              </w:rPr>
            </w:pPr>
            <w:r>
              <w:rPr>
                <w:b/>
              </w:rPr>
              <w:t>(12,654,846</w:t>
            </w:r>
          </w:p>
        </w:tc>
        <w:tc>
          <w:tcPr>
            <w:tcW w:w="160" w:type="dxa"/>
            <w:tcBorders/>
            <w:shd w:fill="CCEEFF" w:val="clear"/>
            <w:vAlign w:val="bottom"/>
          </w:tcPr>
          <w:p>
            <w:pPr>
              <w:pStyle w:val="TableContents"/>
              <w:bidi w:val="0"/>
              <w:spacing w:before="0" w:after="283"/>
              <w:jc w:val="left"/>
              <w:rPr>
                <w:b/>
              </w:rPr>
            </w:pPr>
            <w:r>
              <w:rPr>
                <w:b/>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7" w:type="dxa"/>
            <w:tcBorders/>
            <w:shd w:fill="CCEEFF" w:val="clear"/>
            <w:vAlign w:val="bottom"/>
          </w:tcPr>
          <w:p>
            <w:pPr>
              <w:pStyle w:val="TableContents"/>
              <w:bidi w:val="0"/>
              <w:spacing w:before="0" w:after="283"/>
              <w:jc w:val="right"/>
              <w:rPr>
                <w:b/>
              </w:rPr>
            </w:pPr>
            <w:r>
              <w:rPr>
                <w:b/>
              </w:rPr>
              <w:t>(6,767,275</w:t>
            </w:r>
          </w:p>
        </w:tc>
        <w:tc>
          <w:tcPr>
            <w:tcW w:w="166" w:type="dxa"/>
            <w:tcBorders/>
            <w:shd w:fill="CCEEFF" w:val="clear"/>
            <w:vAlign w:val="bottom"/>
          </w:tcPr>
          <w:p>
            <w:pPr>
              <w:pStyle w:val="TableContents"/>
              <w:bidi w:val="0"/>
              <w:spacing w:before="0" w:after="283"/>
              <w:jc w:val="left"/>
              <w:rPr>
                <w:b/>
              </w:rPr>
            </w:pPr>
            <w:r>
              <w:rPr>
                <w:b/>
              </w:rPr>
              <w:t>) </w:t>
            </w:r>
          </w:p>
        </w:tc>
      </w:tr>
      <w:tr>
        <w:trPr/>
        <w:tc>
          <w:tcPr>
            <w:tcW w:w="6036"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financial instruments consist of cash and cash equivalents, short-term investments, amounts receivable, accounts payable and accrued liabilities. There were no changes to the Company’s risk exposures or management of risks during the three months ended March 31, 2026. The Company’s risk exposures and the impact on the Company’s financial instruments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is the risk that one party to a financial instrument will cause a financial loss for the other party by failing to discharge an obligation. The Company believes it has no significant credit risk, as its cash and cash equivalents and short-term investments, being its primary exposure to credit risk, are held with a large Canadian bank. The Company’s maximum exposure to credit risk is the carrying value of these financial assets. </w:t>
      </w:r>
    </w:p>
    <w:p>
      <w:pPr>
        <w:pStyle w:val="TextBody"/>
        <w:bidi w:val="0"/>
        <w:spacing w:before="360" w:after="0"/>
        <w:jc w:val="left"/>
        <w:rPr>
          <w:rFonts w:ascii="Times New Roman" w:hAnsi="Times New Roman"/>
          <w:i/>
          <w:sz w:val="20"/>
        </w:rPr>
      </w:pPr>
      <w:r>
        <w:rPr>
          <w:rFonts w:ascii="Times New Roman" w:hAnsi="Times New Roman"/>
          <w:i/>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an entity will encounter difficulty in meeting obligations associated with financial liabilities that are settled by delivering cash or another financial asset. The Company’s approach to managing liquidity risk is to ensure that it will have sufficient liquidity to the extent possible to meet liabilities when due. As at March 31, 2026, the Company had cash and cash equivalents of $58,500,024 (2025 - $80,563,482) and short-term investments of $80,378,789 (2025 - $nil) in addition to current liabilities of $7,362,389 (2025 - $5,628,005). Management continuously considers certain strategic alternatives including, but not limited to, raising additional capital. These decisions are always made in consideration of the needs of the business, and in conjunction with the potential impact on shareholder dilution. </w:t>
      </w:r>
    </w:p>
    <w:p>
      <w:pPr>
        <w:pStyle w:val="TextBody"/>
        <w:bidi w:val="0"/>
        <w:spacing w:before="120" w:after="0"/>
        <w:jc w:val="left"/>
        <w:rPr>
          <w:rFonts w:ascii="Times New Roman" w:hAnsi="Times New Roman"/>
          <w:sz w:val="20"/>
        </w:rPr>
      </w:pPr>
      <w:r>
        <w:rPr>
          <w:rFonts w:ascii="Times New Roman" w:hAnsi="Times New Roman"/>
          <w:sz w:val="20"/>
        </w:rPr>
        <w:t xml:space="preserve">There is no assurance, however, that any or all of these alternatives will materialize or that additional funding will be available, if and when needed.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is the risk that the fair value or future cash flows of a financial instrument will fluctuate because of changes in market prices. Market risk comprises three types of risk: interest rate risk, currency risk and other price risk.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Interest rate risk is the risk that the fair value or future cash flows of a financial instrument will fluctuate because of changes in market interest rates. As of March 31, 2026, the Company had cash and cash equivalents of $58,500,024 and short-term investments of $80,378,789 which are held in term deposits, and bank accounts. Interest rate risk is affected by changes in the general level of interest rates, particularly because the majority of the Company’s investments are short-term in nature. Due to the short-term duration the cash and cash equivalent holdings and short-term investments, a 10% change in interest rates would not have a material effect on the fair market value of cash, cash equivalents and short-term investments. Since the Company also has the ability to hold the cash equivalents and short-term investments until maturity, it would not expect the Company’s operating results or cash flows to be affected to any significant degree by the effect of a sudden change in market interest rates. </w:t>
      </w:r>
    </w:p>
    <w:p>
      <w:pPr>
        <w:pStyle w:val="TextBody"/>
        <w:bidi w:val="0"/>
        <w:spacing w:before="360" w:after="0"/>
        <w:jc w:val="left"/>
        <w:rPr>
          <w:rFonts w:ascii="Times New Roman" w:hAnsi="Times New Roman"/>
          <w:i/>
          <w:sz w:val="20"/>
        </w:rPr>
      </w:pPr>
      <w:r>
        <w:rPr>
          <w:rFonts w:ascii="Times New Roman" w:hAnsi="Times New Roman"/>
          <w:i/>
          <w:sz w:val="20"/>
        </w:rPr>
        <w:t xml:space="preserve">Currency risk </w:t>
      </w:r>
    </w:p>
    <w:p>
      <w:pPr>
        <w:pStyle w:val="TextBody"/>
        <w:bidi w:val="0"/>
        <w:spacing w:before="120" w:after="0"/>
        <w:jc w:val="left"/>
        <w:rPr>
          <w:rFonts w:ascii="Times New Roman" w:hAnsi="Times New Roman"/>
          <w:sz w:val="20"/>
        </w:rPr>
      </w:pPr>
      <w:r>
        <w:rPr>
          <w:rFonts w:ascii="Times New Roman" w:hAnsi="Times New Roman"/>
          <w:sz w:val="20"/>
        </w:rPr>
        <w:t xml:space="preserve">Currency risk is the risk that the fair value or future cash flows of a financial instrument will fluctuate because of changes in foreign exchange rates. The Company is exposed to currency risk due to its frequency of transactions in US dollars and Australian dollars. The Company does not use derivatives to hedge against this risk, however, it does purchase US dollars to cover anticipated costs that will be denominated in US dollars. </w:t>
      </w:r>
    </w:p>
    <w:p>
      <w:pPr>
        <w:pStyle w:val="TextBody"/>
        <w:bidi w:val="0"/>
        <w:spacing w:before="120" w:after="0"/>
        <w:jc w:val="left"/>
        <w:rPr>
          <w:rFonts w:ascii="Times New Roman" w:hAnsi="Times New Roman"/>
          <w:sz w:val="20"/>
        </w:rPr>
      </w:pPr>
      <w:r>
        <w:rPr>
          <w:rFonts w:ascii="Times New Roman" w:hAnsi="Times New Roman"/>
          <w:sz w:val="20"/>
        </w:rPr>
        <w:t xml:space="preserve">At March 31, 2026, the Company held cash and cash equivalents of $47,403,396 (2025 – $77,988,544), short-term investments of $80,378,789 (2025 - $nil) and had accounts payable and accrued liabilities of $4,440,839 (2025 – $942,201) denominated in US dollars which were translated to Canadian dollars at 1.3939 (2025 – 1.3706). The impact of a 10% change in the exchange rates would have an impact of approximately $12,334,135 (2025 – $7,704,614) on profit or loss. The Company held cash of $613,974 (2025 - $1,449,522), accounts payable and accrued liabilities of $820,421 (2025 - $779,455) and had $773,042 in amounts receivable (2025 - $716,095) denominated in Australian Dollars which were translated into Canadian Dollars at 0.9558 (2025 – 0.9147). The impact of a 10% change in the exchange rate would have an impact of approximately $38,852 (2025 - $92,509) on profit or loss. The Company also has accounts payable in Euros. The impact of a 10% change in the exchanges of the Euro would have an immaterial effect on future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Other price risk </w:t>
      </w:r>
    </w:p>
    <w:p>
      <w:pPr>
        <w:pStyle w:val="TextBody"/>
        <w:bidi w:val="0"/>
        <w:spacing w:before="120" w:after="0"/>
        <w:jc w:val="left"/>
        <w:rPr>
          <w:rFonts w:ascii="Times New Roman" w:hAnsi="Times New Roman"/>
          <w:sz w:val="20"/>
        </w:rPr>
      </w:pPr>
      <w:r>
        <w:rPr>
          <w:rFonts w:ascii="Times New Roman" w:hAnsi="Times New Roman"/>
          <w:sz w:val="20"/>
        </w:rPr>
        <w:t xml:space="preserve">Other price risk is the risk that the fair value or future cash flows of a financial instrument will fluctuate because of changes in market prices (other than those arising from interest rate risk and foreign currency risk), whether those changes are caused by factors specific to the individual financial instrument or its issuer or by factors affecting all similar financial instruments traded in the market. The Company is not exposed to significant price risk with respect to commodity or equity prices.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categorizes its financial instruments measured at fair value into one of three different levels depending on the observation of inputs used in the measurement. </w:t>
      </w:r>
    </w:p>
    <w:p>
      <w:pPr>
        <w:pStyle w:val="TextBody"/>
        <w:bidi w:val="0"/>
        <w:spacing w:before="120" w:after="0"/>
        <w:jc w:val="left"/>
        <w:rPr>
          <w:rFonts w:ascii="Times New Roman" w:hAnsi="Times New Roman"/>
          <w:sz w:val="20"/>
        </w:rPr>
      </w:pPr>
      <w:r>
        <w:rPr>
          <w:rFonts w:ascii="Times New Roman" w:hAnsi="Times New Roman"/>
          <w:sz w:val="20"/>
        </w:rPr>
        <w:t xml:space="preserve">Level 1: Fair value is based on unadjusted quoted prices for identical assets or liabilities in active markets </w:t>
      </w:r>
    </w:p>
    <w:p>
      <w:pPr>
        <w:pStyle w:val="TextBody"/>
        <w:bidi w:val="0"/>
        <w:spacing w:before="120" w:after="0"/>
        <w:jc w:val="left"/>
        <w:rPr>
          <w:rFonts w:ascii="Times New Roman" w:hAnsi="Times New Roman"/>
          <w:sz w:val="20"/>
        </w:rPr>
      </w:pPr>
      <w:r>
        <w:rPr>
          <w:rFonts w:ascii="Times New Roman" w:hAnsi="Times New Roman"/>
          <w:sz w:val="20"/>
        </w:rPr>
        <w:t xml:space="preserve">Level 2: Fair value is based on inputs other than quoted prices included within Level 1 that are observable for the asset or liability, either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Level 3: Fair value is based on valuation techniques that require one or more significant unobservable inputs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NOTES TO THE CONSOLIDATED FINANCIAL STATEMENTS </w:t>
      </w:r>
    </w:p>
    <w:p>
      <w:pPr>
        <w:pStyle w:val="TextBody"/>
        <w:bidi w:val="0"/>
        <w:spacing w:before="0" w:after="0"/>
        <w:jc w:val="left"/>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left"/>
        <w:rPr>
          <w:rFonts w:ascii="Times New Roman" w:hAnsi="Times New Roman"/>
          <w:sz w:val="20"/>
        </w:rPr>
      </w:pPr>
      <w:r>
        <w:rPr>
          <w:rFonts w:ascii="Times New Roman" w:hAnsi="Times New Roman"/>
          <w:sz w:val="20"/>
        </w:rPr>
        <w:t xml:space="preserve">(Unaudited and Expressed in U.S. Dollars, except share amounts)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financial instruments consist of cash and cash equivalents, short-term investments, amounts receivable, accounts payable and accrued liabilities. The carrying value of the Company’s financial instruments approximate their fair values due to their short-term maturities.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information regarding the classification and carrying values of the Company’s financial instruments measured at amortized cost: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35"/>
        <w:gridCol w:w="216"/>
        <w:gridCol w:w="145"/>
        <w:gridCol w:w="1151"/>
        <w:gridCol w:w="60"/>
        <w:gridCol w:w="216"/>
        <w:gridCol w:w="159"/>
        <w:gridCol w:w="1308"/>
        <w:gridCol w:w="65"/>
      </w:tblGrid>
      <w:tr>
        <w:trPr/>
        <w:tc>
          <w:tcPr>
            <w:tcW w:w="443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assets/liabilities</w:t>
            </w:r>
          </w:p>
        </w:tc>
        <w:tc>
          <w:tcPr>
            <w:tcW w:w="21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5"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58,500,024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80,563,482</w:t>
            </w:r>
          </w:p>
        </w:tc>
        <w:tc>
          <w:tcPr>
            <w:tcW w:w="65"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80,378,789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receivable</w:t>
            </w:r>
          </w:p>
        </w:tc>
        <w:tc>
          <w:tcPr>
            <w:tcW w:w="2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663,235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674,226</w:t>
            </w:r>
          </w:p>
        </w:tc>
        <w:tc>
          <w:tcPr>
            <w:tcW w:w="65"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7,158,879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5,549,553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WITH RESPECT TO CASH FLOWS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paid interest of $nil during three months ended March 31, 2026 (2025 - $nil).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received interest of $528,120 during three months ended March 31, 2026 (2025 - $308,188). </w:t>
      </w:r>
    </w:p>
    <w:p>
      <w:pPr>
        <w:pStyle w:val="TextBody"/>
        <w:bidi w:val="0"/>
        <w:spacing w:before="120" w:after="0"/>
        <w:jc w:val="left"/>
        <w:rPr>
          <w:rFonts w:ascii="Times New Roman" w:hAnsi="Times New Roman"/>
          <w:sz w:val="20"/>
        </w:rPr>
      </w:pPr>
      <w:r>
        <w:rPr>
          <w:rFonts w:ascii="Times New Roman" w:hAnsi="Times New Roman"/>
          <w:sz w:val="20"/>
        </w:rPr>
        <w:t xml:space="preserve">The Company had the following non-cash transactions for the three months ended March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Entered into a lease for its Vancouver, BC lab and office space and recognized $1,923,945 in right-of-use asset and lease liability (see Note 7 – ROU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Purchased $80,452 of lab equipment which was not paid until subsequent to March 31,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did not have any non-cash transactions for three months ended March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Subsequent to March 31, 2026 a total of 3,113,775 warrants with an exercise price of CDN$3.00 were exercised for proceeds of $6,758,283 (on exercise, $716,249 was transferred from additional paid-in capital to share capital). The remaining 846 warrants that remained unexercised expired on April 20,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TextBody"/>
        <w:bidi w:val="0"/>
        <w:spacing w:before="0" w:after="0"/>
        <w:jc w:val="right"/>
        <w:rPr>
          <w:rFonts w:ascii="Times New Roman" w:hAnsi="Times New Roman"/>
          <w:b/>
          <w:sz w:val="20"/>
        </w:rPr>
      </w:pPr>
      <w:bookmarkStart w:id="4" w:name="d133809dex992.htm"/>
      <w:bookmarkStart w:id="5" w:name="ksd133809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4905375"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05375" cy="13430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EUPRAXIA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MANAGEMENT’S DISCUSSION AND ANALYSIS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AND RESULTS OF OPERATIONS </w:t>
      </w:r>
    </w:p>
    <w:p>
      <w:pPr>
        <w:pStyle w:val="TextBody"/>
        <w:bidi w:val="0"/>
        <w:spacing w:before="240" w:after="0"/>
        <w:jc w:val="center"/>
        <w:rPr>
          <w:rFonts w:ascii="Times New Roman" w:hAnsi="Times New Roman"/>
          <w:sz w:val="20"/>
        </w:rPr>
      </w:pPr>
      <w:r>
        <w:rPr>
          <w:rFonts w:ascii="Times New Roman" w:hAnsi="Times New Roman"/>
          <w:sz w:val="20"/>
        </w:rPr>
        <w:t xml:space="preserve">For the Three Months ended March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MANAGEMENT’S DISCUSSION AND ANALYSIS OF FINANCIAL CONDITION </w:t>
      </w:r>
    </w:p>
    <w:p>
      <w:pPr>
        <w:pStyle w:val="TextBody"/>
        <w:bidi w:val="0"/>
        <w:spacing w:before="0" w:after="0"/>
        <w:jc w:val="center"/>
        <w:rPr>
          <w:rFonts w:ascii="Times New Roman" w:hAnsi="Times New Roman"/>
          <w:b/>
          <w:sz w:val="20"/>
        </w:rPr>
      </w:pPr>
      <w:r>
        <w:rPr>
          <w:rFonts w:ascii="Times New Roman" w:hAnsi="Times New Roman"/>
          <w:b/>
          <w:sz w:val="20"/>
        </w:rPr>
        <w:t xml:space="preserve">AND RESULTS OF OPERATIONS FOR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This management’s discussion and analysis (“</w:t>
      </w:r>
      <w:r>
        <w:rPr>
          <w:rFonts w:ascii="Times New Roman" w:hAnsi="Times New Roman"/>
          <w:b/>
          <w:sz w:val="20"/>
        </w:rPr>
        <w:t>MD&amp;A</w:t>
      </w:r>
      <w:r>
        <w:rPr>
          <w:rFonts w:ascii="Times New Roman" w:hAnsi="Times New Roman"/>
          <w:sz w:val="20"/>
        </w:rPr>
        <w:t>”) has been prepared as of May 12, 2026 and should be read in conjunction with the unaudited interim consolidated financial statements of Eupraxia Pharmaceuticals Inc. (“</w:t>
      </w:r>
      <w:r>
        <w:rPr>
          <w:rFonts w:ascii="Times New Roman" w:hAnsi="Times New Roman"/>
          <w:b/>
          <w:sz w:val="20"/>
        </w:rPr>
        <w:t>Eupraxia</w:t>
      </w:r>
      <w:r>
        <w:rPr>
          <w:rFonts w:ascii="Times New Roman" w:hAnsi="Times New Roman"/>
          <w:sz w:val="20"/>
        </w:rPr>
        <w:t>” or the “</w:t>
      </w:r>
      <w:r>
        <w:rPr>
          <w:rFonts w:ascii="Times New Roman" w:hAnsi="Times New Roman"/>
          <w:b/>
          <w:sz w:val="20"/>
        </w:rPr>
        <w:t>Company</w:t>
      </w:r>
      <w:r>
        <w:rPr>
          <w:rFonts w:ascii="Times New Roman" w:hAnsi="Times New Roman"/>
          <w:sz w:val="20"/>
        </w:rPr>
        <w:t>”) as at and for the three months ended March 31, 2026 and the related notes thereto and in conjunction with the audited consolidated financial statements of the Company and related notes thereto for the years ended December 31, 2025 and 2024 which are prepared in accordance with generally accepted accounting principles in the United States of America (“</w:t>
      </w:r>
      <w:r>
        <w:rPr>
          <w:rFonts w:ascii="Times New Roman" w:hAnsi="Times New Roman"/>
          <w:b/>
          <w:sz w:val="20"/>
        </w:rPr>
        <w:t>U.S. GAAP</w:t>
      </w:r>
      <w:r>
        <w:rPr>
          <w:rFonts w:ascii="Times New Roman" w:hAnsi="Times New Roman"/>
          <w:sz w:val="20"/>
        </w:rPr>
        <w:t>”). All dollar amounts are expressed in U.S. dollars unless otherwise noted. In this MD&amp;A, unless the context requires otherwise, references to “we” or “our” are references to Eupraxia. Additional information relating to the Company is available in our annual information form (“</w:t>
      </w:r>
      <w:r>
        <w:rPr>
          <w:rFonts w:ascii="Times New Roman" w:hAnsi="Times New Roman"/>
          <w:b/>
          <w:sz w:val="20"/>
        </w:rPr>
        <w:t>AIF</w:t>
      </w:r>
      <w:r>
        <w:rPr>
          <w:rFonts w:ascii="Times New Roman" w:hAnsi="Times New Roman"/>
          <w:sz w:val="20"/>
        </w:rPr>
        <w:t xml:space="preserve">”), filed on SEDAR+ on March 12,2026 and on EDGAR as an exhibit to our Form 40-F annual report on March 13, 2026. </w:t>
      </w:r>
    </w:p>
    <w:p>
      <w:pPr>
        <w:pStyle w:val="TextBody"/>
        <w:bidi w:val="0"/>
        <w:spacing w:before="240" w:after="0"/>
        <w:jc w:val="left"/>
        <w:rPr>
          <w:rFonts w:ascii="Times New Roman" w:hAnsi="Times New Roman"/>
          <w:sz w:val="20"/>
        </w:rPr>
      </w:pPr>
      <w:r>
        <w:rPr>
          <w:rFonts w:ascii="Times New Roman" w:hAnsi="Times New Roman"/>
          <w:sz w:val="20"/>
        </w:rPr>
        <w:t>In the interest of greater clarity for investors, the Company will use EP-104IAR when referring to the product candidate that is intended for intra-articular (“</w:t>
      </w:r>
      <w:r>
        <w:rPr>
          <w:rFonts w:ascii="Times New Roman" w:hAnsi="Times New Roman"/>
          <w:b/>
          <w:sz w:val="20"/>
        </w:rPr>
        <w:t>IAR</w:t>
      </w:r>
      <w:r>
        <w:rPr>
          <w:rFonts w:ascii="Times New Roman" w:hAnsi="Times New Roman"/>
          <w:sz w:val="20"/>
        </w:rPr>
        <w:t>”) injections for indications such as osteoarthritis (“</w:t>
      </w:r>
      <w:r>
        <w:rPr>
          <w:rFonts w:ascii="Times New Roman" w:hAnsi="Times New Roman"/>
          <w:b/>
          <w:sz w:val="20"/>
        </w:rPr>
        <w:t>OA</w:t>
      </w:r>
      <w:r>
        <w:rPr>
          <w:rFonts w:ascii="Times New Roman" w:hAnsi="Times New Roman"/>
          <w:sz w:val="20"/>
        </w:rPr>
        <w:t>”), EP-104GI when referring to the product candidate that is intended for submucosal injections in the GI tract for indications such as eosinophilic esophagitis (“</w:t>
      </w:r>
      <w:r>
        <w:rPr>
          <w:rFonts w:ascii="Times New Roman" w:hAnsi="Times New Roman"/>
          <w:b/>
          <w:sz w:val="20"/>
        </w:rPr>
        <w:t>EoE</w:t>
      </w:r>
      <w:r>
        <w:rPr>
          <w:rFonts w:ascii="Times New Roman" w:hAnsi="Times New Roman"/>
          <w:sz w:val="20"/>
        </w:rPr>
        <w:t xml:space="preserve">”), and simply refer to the product candidate as “EP-104” in conjunction with topics that are related to both EP-104IAR and EP-104GI.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and information in this MD&amp;A contain forward-looking statements or forward-looking information under applicable securities legislation that may not be based on historical fact, including, without limitation, statements containing the words “may,” “might,” “will,” “likely,” “could,” “would,” “should,” “expect,” “intend,” “plan,” “objective,” “goal,” “outlook,” “anticipate,” “believe,” “estimate,” “predict,” “project,” “forecast,” “estimate,” “potential,” “target,” “seek,” “contemplate,” “continue,” “design,” and “ongoing,” or the negative of these terms or other comparable terminology, although not all forward-looking statements contain these words and similar expressions. Forward-looking statements include estimates, plans, expectations, opinions, forecasts, projections, targets, guidance or other statements that are not statements of fact. Such forward-looking statements are made as of the date of this MD&amp;A.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necessarily based on estimates and assumptions made by us in light of our experience and perception of historical trends, current conditions and expected future developments, as well as factors that we believe are appropriate. Forward-looking statements in this MD&amp;A include, but are not limited to, statements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business strategies and objectives, including current and future plans, expectations and intentions;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evaluate funding alternatives for the continued development of EP-104IAR, including potential partnership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obtain sufficient funding for its operations, including funding for research, development and commercial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projected operating expenses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revenues, future trends, opportunities and growth in the Company’s industry and the drug development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market reception of the target profile of EP-104GI and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maintain and enhance its competitive advantages and technological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commercial partnerships and commercialization of the Company’s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ability to enter into definitive agreements with its contract research organizations (“</w:t>
            </w:r>
            <w:r>
              <w:rPr>
                <w:rFonts w:ascii="Times New Roman" w:hAnsi="Times New Roman"/>
                <w:b/>
                <w:sz w:val="20"/>
              </w:rPr>
              <w:t>CROs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enter into out-licencing, co-development and/or collaborative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clinical development programs and activities and the estimated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success of regulatory submissions, including the Company’s belief that its planned clinical trials will support future New Drug Application (“</w:t>
            </w:r>
            <w:r>
              <w:rPr>
                <w:rFonts w:ascii="Times New Roman" w:hAnsi="Times New Roman"/>
                <w:b/>
                <w:sz w:val="20"/>
              </w:rPr>
              <w:t>NDA</w:t>
            </w:r>
            <w:r>
              <w:rPr>
                <w:rFonts w:ascii="Times New Roman" w:hAnsi="Times New Roman"/>
                <w:sz w:val="20"/>
              </w:rPr>
              <w:t xml:space="preserve">”) submissions for EP-104IAR and EP-104GI;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obtaining of potential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of additional research and development team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the Company’s technology to impact the drug delivery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additional intellectual property, ability to patent or otherwise protect such developed intellectual property and licenses with third parties for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issued patents to provide protection for our products and technology in applicable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protect, expand upon and exploit its existing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sponsored research agreements and the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advantages of the Company and its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planned development and future success of the Company’s product candidates and results gathered from studies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products from the Company’s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regulations and standards to the Company’s future products and services or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retention of funds or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translation of the Company’s technologies and expansion of its offerings into clinical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to patients from the Company’s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strategic relationship to the Company’s clients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engagement with legal and regulatory authorities in various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anticipated use of its existing cash and cash equivalents, including the use of net proceeds from the 2026 Offering (as defined herein) and the related estimated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the Company’s existing cash and cash equivalents to fund its future operating expenses and capital expenditure requirements and potential sources of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common shares in the capital of the Company (the “</w:t>
            </w:r>
            <w:r>
              <w:rPr>
                <w:rFonts w:ascii="Times New Roman" w:hAnsi="Times New Roman"/>
                <w:b/>
                <w:sz w:val="20"/>
              </w:rPr>
              <w:t>Common Shares</w:t>
            </w:r>
            <w:r>
              <w:rPr>
                <w:rFonts w:ascii="Times New Roman" w:hAnsi="Times New Roman"/>
                <w:sz w:val="20"/>
              </w:rPr>
              <w:t xml:space="preserve">”) upon conversion of the Series 1 Preferred Shares in the capital of the Company (the “Preferred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commercial viability of the Company’s technology;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market acceptance for product candidates developed by the Company and for which it receives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anticipation that in the future, therapeutic targets will be differentiated by dosing levels, vehicle and delivery methods and will be distinct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of considering the possibility of identifying a corporate partner to help with the development and/or commercialization of EP-104GI in markets outside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continue development of EP-104GI through subsequent clinical trials required by the FDA and other global regulatory bodies to obtain commercial approval for marketing in the United States and around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future success of EP-104IAR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use its capital resources previously identified for EP-104IAR development to continue development of EP-104GI;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EP-104 is a promising candidate for prolonged anti-inflammatory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EP-104 drug delivery technology platform has the potential to have a beneficial application for EoE, given the already-established efficacy of oral immediate release of FP in this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EP-104 drug delivery technology platform has the potential to be an effective treatment for OA based on the proven efficacy of other corticosteroids for this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adaptations to the original formulation of EP-104, including modifications to the carrier vehicle and dose, will result in the creation of EP-104GI specific to GI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ongoing global increase in cases and costs of EoE highlight the significant need for novel safe, efficacious and cost-effective treatments to improve outcomes in its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various clinical trials and non-clinical work that the Company believes will be required in support of a future NDA submission for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anticipation that it or a potential partner would submit an NDA for EP-104IAR under Section 505(b)(2) of the FDCA to obtain FDA approval, and that such NDA would rely in part on non-clinical studies and clinical trials conducted by the Company or a potential partner, and in part on the FDA’s prior findings of safety and efficacy for the active ingredient for which the Company does not have a right of reference or which have been established in the scientific literature in the public domain;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the future success of the product candidate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focus over the next 24 months on the execution of the EP-104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seek out-licencing, co-development or marketing partners for its technology, with the potential to expand and exploit its application 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intention to put in place conditions and resources, including the potential use of licensing partnerships, that support the success of the development program, marketing authorization(s) and commercialization across multiple jurisdictions, as well as exploitation of any opportunities for lifecycle and patent extension, which, depending on market conditions, may take the form of co-development or commercialization partnerships, transactional opportunities and/or public financing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pipeline programs are expected to be another area of potential growth in the next 24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belief that its technology has the potential to be particularly suitable for diseases requiring precisely targeted and controlled localized therapy where broader tissue or systemic exposure should be avoided (e.g., tumour oncology);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goal to add two pipeline product candidates over the next 24 months to allow for sustained corporate growth, which the Company expects to involve a multidisciplinary review of candidate drugs, formulation development, in vitro screening to identify the most promising lead candidates and non-clinical proof-of-concept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plans to enroll approximately 120 patients in the Phase 2b portion of the RESOLVE trial in up to 25 sites globally, assessing tissue health measured by biopsy (EoEHSS and PEC scores), symptom scores (SDI and DSQ), and safety, over a twelve-month period. In Q4 2026, the Company expects to release interim data from the Phase 2b portion of the RESOLVE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 that at least one Phase 3 study assessing both efficacy (reduced histological signs and improved symptoms) and safety of EP-104GI will be required to seek marketing approval for EP-104GI for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uses of proceeds of the Company’s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 that its trend of net losses will continue into the future as it makes further investments in its EP-104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 that research and development expenses will increase as it undertakes clinical trials and incurs significant costs for CROs and consultants, and further investment in additional drug candidates in support of broader pipeline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 that general and administrative expenses are likely to remain high in the future as a result of ongoing costs associated with public company compliance;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expectations that its growth plans will require further capital and its plans to obtain such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and information involve significant risks, assumptions, uncertainties and other factors that may cause actual future results or anticipated events to differ materially from those expressed or implied in any forward-looking statements or information and, accordingly, should not be read as guarantees of future performance or results. These risks and factors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have no products approved for commercial sale, which may make it difficult for you to evaluate our current business and predict our future success and viability;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a failure to obtain this necessary capital when needed could force us to delay, limit, reduce or terminate our product development or commercialization efforts, if any of our product candidates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lead product candidates EP-104GI, which is currently being studied in a Phase 1b/2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U.S. Food and Drug Administration ( the “</w:t>
            </w:r>
            <w:r>
              <w:rPr>
                <w:rFonts w:ascii="Times New Roman" w:hAnsi="Times New Roman"/>
                <w:b/>
                <w:sz w:val="20"/>
              </w:rPr>
              <w:t>FDA</w:t>
            </w:r>
            <w:r>
              <w:rPr>
                <w:rFonts w:ascii="Times New Roman" w:hAnsi="Times New Roman"/>
                <w:sz w:val="20"/>
              </w:rPr>
              <w:t xml:space="preserve">”) or comparable non-U.S. regulatory authorities or provide the basis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lead product candidates may not be successful for their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and future product candidates will require regulatory approval, which is costly, and we may fail to obtain regulatory approvals or only obtain approvals for limited uses or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formulating any additional product candidates with our Diffusphere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clinical trials of our product candidates may not demonstrate safety and efficacy to the satisfaction of the FDA, European Medicines Agency (“</w:t>
            </w:r>
            <w:r>
              <w:rPr>
                <w:rFonts w:ascii="Times New Roman" w:hAnsi="Times New Roman"/>
                <w:b/>
                <w:sz w:val="20"/>
              </w:rPr>
              <w:t>EMA</w:t>
            </w:r>
            <w:r>
              <w:rPr>
                <w:rFonts w:ascii="Times New Roman" w:hAnsi="Times New Roman"/>
                <w:sz w:val="20"/>
              </w:rPr>
              <w:t xml:space="preserve">”), Health Canada or other comparable foreign regulatory authorities or otherwise produce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requires us to share our trade secrets, which increases the possibility that a competitor or other third party will discover them or that our trade secrets will be misappropriated or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other regulatory approval sooner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establish sales and marketing capabilities or enter into agreements with third parties to market and sell our drug candidates, if approved, we may be unable to generate any product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novel technology with uncertain market acceptance if any of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experience delays or difficulties in the enrollment and/or maintenance of patients in clinical trials, our clinical development activities could be delayed or otherwise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drug development is a lengthy, expensive, and inherently uncertain process, and we may experience delays in completing, or ultimately be unable to successfully complete the clinical trials needed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and other comparable foreign regulatory authorities may not accept data from trials conducted in locations outside of their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mean that we will be successful in obtaining regulatory approval of our product candidates in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market opportunity for any product candidate that we or our strategic partners develop is smaller than we believe, our revenue may be adversely affected and our business may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 candidates receive regulatory approval, the competitive landscape, standard of care, and pricing and reimbursement environment may have changed by that time, which could significantly reduce the market opportunity and our ability to attain commercially viable pricing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for competitive products could decrease due to competition from generic or biosimilar versions of those drugs, which could have a materially negative impact on our ability to capture adequate pricing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our product candidates receive regulatory approval, we will be subject to significant post marketing regulatory requirements and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FDA’s and other regulatory authorities’ policies may change, and additional government regulations may be enacted that could prevent, limit or delay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and other regulatory agencies actively enforce the laws and regulations prohibiting the promotion of off label uses and failure to comply with these laws and other laws relating to promotion could subject us to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and other government agencies caused by actions taken by the current U.S. presidential administration or through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a highly competitive industry which is continuously evolving with technological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will depend on our ability to continually enhance and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expend our limited resources to pursue a particular product candidate or indication and fail to capitalize on product candidates or indications that may be more profitable or for which there is a greater likelihood of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methods of product candidate manufacturing or formulation may result in additional costs or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uncertainty regarding U.S. tariffs and support for existing treaty and trade relationships, including with Canada, and implementation of new legislative or regulatory policies by the U.S. government could impose additional costs on the Company, result in delayed timelines, or otherwise negatively impact the Company, which could have a material adverse impact on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variety of risks associated with potential international business relationships could materially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drug pricing and reimbursement policies – including the introduction or expansion of “most-favored-nation” or similar reference-pricing frameworks-could materially reduce achievable pricing, constrain market access, and adversely impact our revenues, margins, and overall business strategy; collaboration arrangements we may enter into in the future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of any future debt instruments may restrict our ability to pursue our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acquire businesses or products, or form strategic alliances in the future, and we may not realize the benefits of such acquisitions or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traditionally relied on key collaborations and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manage our growth successfully, which may adversely impact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guidelines and recommendations published by various organizations can reduce the use of products that we may commercialize if marketing authorization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hazardous chemicals and biological materials in our business. Any claims relating to improper handling, storage or disposal of these materials could be time consuming and costly;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product liability lawsuits are brought against us, then we may incur substantial liabilities and may be required to limit commercialization of EP-104, if approved, for any indication, and any other future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securities litigation, which is expensive and could divert management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may be affiliated with other biotech companies and may have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macroeconomic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global geopolitical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responsible for corruption and anti-bribery law violations;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foreign exchange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taxation risks and changing rules by different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a number of risks and hazards and may not be sufficiently insured for all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devote significant resources to regulatory compliance as a public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on our ability to protect our intellectual property and our proprietary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scope of any patent protection we obtain is not sufficiently broad, or if we lose any of our patent protection, our ability to prevent our competitors from commercializing similar or identical product candidates would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rights do not necessarily address all potential threats to our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patent rights may prove to be an inadequate barrier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obtaining or maintaining necessary rights to our product candidates through acquisitions and in-licenses;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involved in lawsuits to protect or enforce our patents or our future licensors’ patents, which could be expensive, time consuming, and unsuccessful. Further, our issued patents or our current or future licensors’ patents could be found invalid or unenforceable if challenged in court or before administrative bodies in the United States or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litigation may lead to unfavorable publicity that harms our reputation and causes the market price of our Common Shares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derivation proceedings may be necessary to determine priority of inventions, and an unfavorable outcome may require us to cease using the related technology or to attempt to license rights from the prevailing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identify relevant third-party patents or may incorrectly interpret the relevance, scope or expiration of a third-party patent, which might adversely affect our ability to develop and market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patent law, or laws in other countries, or their interpretation could diminish the value of patents in general, thereby impairing our ability to protect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challenging the inventorship or ownership of our patents, the patents we license, and other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terms may be inadequate to protect our competitive position on our product candidates for an adequate amount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protect or enforce our intellectual property rights throughout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our patent protection depends on compliance with various procedural, documentary submission, fee payment and other requirements imposed by regulations and governmental patent agencies, and our patent protection could be reduced or eliminated for non-compliance with these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trademarks and trade names are not adequately protected, then we may not be able to build name recognition in our markets of interest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protect the confidentiality of our trade secrets, the value of the Company’s technology could be materially adversely affected, harming our business and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or our employees, independent contractors, or consultants have wrongfully used or disclosed alleged confidential information or trade secrets;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have wrongfully hired an employee from a competitor or that we or our employees, independent contractors, or consultants have wrongfully used or disclosed alleged confidential information or trade secrets of their former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rights to develop and commercialize the Company’s technology and product candidates, if approved, may be subject, in part, to the terms and conditions of any future licenses granted to us by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future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 protection and patent prosecution for some of our product candidates may be dependent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may be limited or unavailable in certain market segments for our product candidates, if approved, which could make it difficult for us to sell any product candidates or therapies, if approved,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consultants, commercial collaborators, principal investigators, CROs, suppliers and vendors may engage in misconduct or other improper activities, including noncompliance with regulatory standards and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activities could be affected or delayed as a result of possible restrictions on animal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healthcare legislative and regulatory reform measures may have a material adverse effect on our business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Common Shares may be volatile;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may lose their entire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executive officers and directors own a significant percentage of Common Shares and may have a significant impact over matters submitted to our shareholders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Common Shares by our existing shareholders could cause our share price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to raise additional financing in the future which may dilute our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Preferred Shares, and any future issuance of preferred shares could make it difficult for another company to acquire us or could otherwise adversely affect holders of our Common Shares, which could depress the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constating documents permit us to issue an unlimited number of Common Shares without additional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may cause dilution to our shareholders, restrict our operations or require us to relinquish rights to the Company’s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warrants, pre-funded warrants, Preferred Shares convertible into Common Shares, and shares of a subsidiary exchangeable for Common Shares outstanding, which in each case, if exercised, converted or exchanged, respectively, could cause dilution to existing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may have limited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we cannot assure you that an active market will develop or be sustained for our Common Shares on the Nasdaq Capital Market (“</w:t>
            </w:r>
            <w:r>
              <w:rPr>
                <w:rFonts w:ascii="Times New Roman" w:hAnsi="Times New Roman"/>
                <w:b/>
                <w:sz w:val="20"/>
              </w:rPr>
              <w:t>Nasdaq</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not be able to obtain enforcement of civil liabilities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subject to different U.S. securities laws and rules than a domestic U.S. issuer, which may limit the information publicly available to our U.S.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our foreign private issuer status in the future, which could result in significant additional costs and expenses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of our shares may suffer adverse tax consequences if we are characterized as a passive foreign investment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U.S. holder is treated as owning at least 10% of our Common Shares, such U.S. holder may be subject to adverse U.S. federal income tax consequences.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statements reflect our current views with respect to future events, are subject to risks and uncertainties and are necessarily based upon a number of estimates and assumptions that, while considered reasonable by Eupraxia as of the date of such statements, are inherently subject to significant medical, scientific, business, economic, competitive, political and social uncertainties and contingencies. Many factors could cause our actual results, performance or achievements to be materially different from any future results, performance, or achievements that may be expressed or implied by such forward-looking statements. In making the forward-looking statements included in this MD&amp;A, the Company has made various material assumptions, including but not limited to (i) the Company’s ability to attract and retain skilled staff; (ii) future research and development plans for the Company proceeding substantially as currently envisioned; (iii) industry growth trends, including with respect to projected and actual industry sales; (iv) the Company’s ability to obtain positive results from the Company’s research and development activities, including clinical trials; (v) sufficient working capital and the Company’s ability to control costs and raise additional financing going forward; (vi) obtaining regulatory approvals and the potential benefits of our product candidates, if approved; (vii) general business and economic conditions; (viii) the Company’s ability to achieve profitability; (ix) the Company’s ability to successfully commercialize its current product candidates, if approved, enter into commercial partnerships and develop new products; (x) the availability of financing on reasonable terms; (xi) market competition; (xii) the products and technology offered by the Company’s competitors; (xiii) the Company’s ability to protect patents and proprietary rights; and (xiv) the availability and cost of personnel, materials and supplies. </w:t>
      </w:r>
    </w:p>
    <w:p>
      <w:pPr>
        <w:pStyle w:val="TextBody"/>
        <w:bidi w:val="0"/>
        <w:spacing w:before="240" w:after="0"/>
        <w:jc w:val="left"/>
        <w:rPr>
          <w:rFonts w:ascii="Times New Roman" w:hAnsi="Times New Roman"/>
          <w:sz w:val="20"/>
        </w:rPr>
      </w:pPr>
      <w:r>
        <w:rPr>
          <w:rFonts w:ascii="Times New Roman" w:hAnsi="Times New Roman"/>
          <w:sz w:val="20"/>
        </w:rPr>
        <w:t>In evaluating forward-looking statements, current and prospective shareholders should specifically consider various factors, including the risks listed above and outlined herein under the headings “</w:t>
      </w:r>
      <w:r>
        <w:rPr>
          <w:rFonts w:ascii="Times New Roman" w:hAnsi="Times New Roman"/>
          <w:i/>
          <w:sz w:val="20"/>
        </w:rPr>
        <w:t>Credit risk</w:t>
      </w:r>
      <w:r>
        <w:rPr>
          <w:rFonts w:ascii="Times New Roman" w:hAnsi="Times New Roman"/>
          <w:sz w:val="20"/>
        </w:rPr>
        <w:t>”, “</w:t>
      </w:r>
      <w:r>
        <w:rPr>
          <w:rFonts w:ascii="Times New Roman" w:hAnsi="Times New Roman"/>
          <w:i/>
          <w:sz w:val="20"/>
        </w:rPr>
        <w:t>Liquidity risk</w:t>
      </w:r>
      <w:r>
        <w:rPr>
          <w:rFonts w:ascii="Times New Roman" w:hAnsi="Times New Roman"/>
          <w:sz w:val="20"/>
        </w:rPr>
        <w:t>”, “</w:t>
      </w:r>
      <w:r>
        <w:rPr>
          <w:rFonts w:ascii="Times New Roman" w:hAnsi="Times New Roman"/>
          <w:i/>
          <w:sz w:val="20"/>
        </w:rPr>
        <w:t>Market risk</w:t>
      </w:r>
      <w:r>
        <w:rPr>
          <w:rFonts w:ascii="Times New Roman" w:hAnsi="Times New Roman"/>
          <w:sz w:val="20"/>
        </w:rPr>
        <w:t>”, “</w:t>
      </w:r>
      <w:r>
        <w:rPr>
          <w:rFonts w:ascii="Times New Roman" w:hAnsi="Times New Roman"/>
          <w:i/>
          <w:sz w:val="20"/>
        </w:rPr>
        <w:t>Other price risk</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r>
        <w:rPr>
          <w:rFonts w:ascii="Times New Roman" w:hAnsi="Times New Roman"/>
          <w:i/>
          <w:sz w:val="20"/>
        </w:rPr>
        <w:t>Interest rate risk</w:t>
      </w:r>
      <w:r>
        <w:rPr>
          <w:rFonts w:ascii="Times New Roman" w:hAnsi="Times New Roman"/>
          <w:sz w:val="20"/>
        </w:rPr>
        <w:t>” and “</w:t>
      </w:r>
      <w:r>
        <w:rPr>
          <w:rFonts w:ascii="Times New Roman" w:hAnsi="Times New Roman"/>
          <w:i/>
          <w:sz w:val="20"/>
        </w:rPr>
        <w:t>Currency risk</w:t>
      </w:r>
      <w:r>
        <w:rPr>
          <w:rFonts w:ascii="Times New Roman" w:hAnsi="Times New Roman"/>
          <w:sz w:val="20"/>
        </w:rPr>
        <w:t>” and under the heading “</w:t>
      </w:r>
      <w:r>
        <w:rPr>
          <w:rFonts w:ascii="Times New Roman" w:hAnsi="Times New Roman"/>
          <w:i/>
          <w:sz w:val="20"/>
        </w:rPr>
        <w:t>Risk Factors</w:t>
      </w:r>
      <w:r>
        <w:rPr>
          <w:rFonts w:ascii="Times New Roman" w:hAnsi="Times New Roman"/>
          <w:sz w:val="20"/>
        </w:rPr>
        <w:t xml:space="preserve">” in the AIF. Should one or more of these risks or uncertainties, or a risk that is not currently known to us materialize, or should assumptions underlying those forward-looking statements prove incorrect, actual results may vary materially from those described herein. These forward-looking statements are made as of the date of this MD&amp;A and we do not intend, and do not assume any obligation, to update these forward-looking statements, except as required by applicable securities laws. Investors are cautioned that forward-looking statements are not guarantees of future performance and are inherently uncertain. Accordingly, investors are cautioned not to put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of the Company </w:t>
      </w:r>
    </w:p>
    <w:p>
      <w:pPr>
        <w:pStyle w:val="TextBody"/>
        <w:bidi w:val="0"/>
        <w:spacing w:before="120" w:after="0"/>
        <w:jc w:val="left"/>
        <w:rPr>
          <w:rFonts w:ascii="Times New Roman" w:hAnsi="Times New Roman"/>
          <w:sz w:val="20"/>
        </w:rPr>
      </w:pPr>
      <w:r>
        <w:rPr>
          <w:rFonts w:ascii="Times New Roman" w:hAnsi="Times New Roman"/>
          <w:sz w:val="20"/>
        </w:rPr>
        <w:t>We are a clinical-stage biotechnology company seeking to leverage our proprietary Diffusphere technology to optimize drug delivery for applications with significant unmet medical need. Each of our product candidates is designed to improve patient benefit by providing more prolonged activity than currently available treatments, combined with an improved pharmacokinetics (“</w:t>
      </w:r>
      <w:r>
        <w:rPr>
          <w:rFonts w:ascii="Times New Roman" w:hAnsi="Times New Roman"/>
          <w:b/>
          <w:sz w:val="20"/>
        </w:rPr>
        <w:t>PK</w:t>
      </w:r>
      <w:r>
        <w:rPr>
          <w:rFonts w:ascii="Times New Roman" w:hAnsi="Times New Roman"/>
          <w:sz w:val="20"/>
        </w:rPr>
        <w:t xml:space="preserve">”) and related safety profile and precisely targeted local delivery. We believe a product with this profile could offer the dual potential of providing long-lasting treatment and being well-tolerated in target and non-target tissues. Our strategy is to develop a portfolio of product candidates based on this delivery technology. </w:t>
      </w:r>
    </w:p>
    <w:p>
      <w:pPr>
        <w:pStyle w:val="TextBody"/>
        <w:bidi w:val="0"/>
        <w:spacing w:before="240" w:after="0"/>
        <w:jc w:val="left"/>
        <w:rPr>
          <w:rFonts w:ascii="Times New Roman" w:hAnsi="Times New Roman"/>
          <w:sz w:val="20"/>
        </w:rPr>
      </w:pPr>
      <w:r>
        <w:rPr>
          <w:rFonts w:ascii="Times New Roman" w:hAnsi="Times New Roman"/>
          <w:sz w:val="20"/>
        </w:rPr>
        <w:t>We currently have two distinct clinical development programs, one targeting EoE and the second targeting chronic OA pain in the knee. Both programs are broadly based upon the same active pharmaceutical ingredient (“</w:t>
      </w:r>
      <w:r>
        <w:rPr>
          <w:rFonts w:ascii="Times New Roman" w:hAnsi="Times New Roman"/>
          <w:b/>
          <w:sz w:val="20"/>
        </w:rPr>
        <w:t>API</w:t>
      </w:r>
      <w:r>
        <w:rPr>
          <w:rFonts w:ascii="Times New Roman" w:hAnsi="Times New Roman"/>
          <w:sz w:val="20"/>
        </w:rPr>
        <w:t>”), fluticasone propionate. The injectable drug is dispensed together with a “vehicle” diluent specifically designed for the target delivery modality and co-administered with the API. The same underlying API and extended-release formulation is being used in both development programs. In the future, we anticipate that therapeutic targets will be differentiated by dosing levels, vehicle and delivery methods and will be distinct product candidates. The product candidate that is being developed specifically for submucosal injections in the GI tract with an initial indication of EoE is referred to as EP-104GI, and the product candidate that is being developed for intra-articular (“</w:t>
      </w:r>
      <w:r>
        <w:rPr>
          <w:rFonts w:ascii="Times New Roman" w:hAnsi="Times New Roman"/>
          <w:b/>
          <w:sz w:val="20"/>
        </w:rPr>
        <w:t>IA</w:t>
      </w:r>
      <w:r>
        <w:rPr>
          <w:rFonts w:ascii="Times New Roman" w:hAnsi="Times New Roman"/>
          <w:sz w:val="20"/>
        </w:rPr>
        <w:t xml:space="preserve">”) injections with an initial indication of knee OA is referred to as EP-104IAR. EP-104 is intended to refer to the extended-release fluticasone propionate encapsulated with the Diffusphere technology, which is used in the formulation of both EP-104GI and EP-104IAR.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conducting a Phase 1b/2 clinical trial with EP-104GI in Canada, the Netherlands, Australia, the UK, Switzerland and New Zealand. We also received pre-Investigational New Drug (“IND”) feedback from the FDA on December 3, 2024, to clarify IND-enabling early phase program requirements for conducting studies in the United States. We intend to continue development of EP-104GI through the ongoing clinical trials and other testing required by the FDA for submission of an NDA to potentially obtain commercial approval for marketing in the United States and around the world. We intend to evaluate the possibility of identifying a corporate partner to help with the development and/or commercialization of EP-104GI in markets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have successfully completed a Phase 2b clinical trial with EP-104IAR in knee OA, and in January 2024, held a meeting with the FDA to determine the late-phase program requirements for an NDA submission and potential approval in the United States. We believe that the future success of the product candidate will be dependent on late phase development and commercialization expertise and will require significant resources. We are currently evaluating funding alternatives for the continued development of EP-104IAR, including potential partnership opportunities and intend to modulate investment levels pending the outcome of this evaluation. We intend to use our capital resources previously identified for EP-104IAR development to continue development of EP-104GI. </w:t>
      </w:r>
    </w:p>
    <w:p>
      <w:pPr>
        <w:pStyle w:val="TextBody"/>
        <w:bidi w:val="0"/>
        <w:spacing w:before="360" w:after="0"/>
        <w:jc w:val="left"/>
        <w:rPr>
          <w:rFonts w:ascii="Times New Roman" w:hAnsi="Times New Roman"/>
          <w:i/>
          <w:sz w:val="20"/>
        </w:rPr>
      </w:pPr>
      <w:r>
        <w:rPr>
          <w:rFonts w:ascii="Times New Roman" w:hAnsi="Times New Roman"/>
          <w:i/>
          <w:sz w:val="20"/>
        </w:rPr>
        <w:t xml:space="preserve">EP-104 (Long-Acting Fluticasone Propionate Injectable Suspension) </w:t>
      </w:r>
    </w:p>
    <w:p>
      <w:pPr>
        <w:pStyle w:val="TextBody"/>
        <w:bidi w:val="0"/>
        <w:spacing w:before="120" w:after="0"/>
        <w:jc w:val="left"/>
        <w:rPr>
          <w:rFonts w:ascii="Times New Roman" w:hAnsi="Times New Roman"/>
          <w:sz w:val="20"/>
        </w:rPr>
      </w:pPr>
      <w:r>
        <w:rPr>
          <w:rFonts w:ascii="Times New Roman" w:hAnsi="Times New Roman"/>
          <w:sz w:val="20"/>
        </w:rPr>
        <w:t>The primary active ingredient of the EP-104 product candidates consists of a solid core of fluticasone propionate (“</w:t>
      </w:r>
      <w:r>
        <w:rPr>
          <w:rFonts w:ascii="Times New Roman" w:hAnsi="Times New Roman"/>
          <w:b/>
          <w:sz w:val="20"/>
        </w:rPr>
        <w:t>FP</w:t>
      </w:r>
      <w:r>
        <w:rPr>
          <w:rFonts w:ascii="Times New Roman" w:hAnsi="Times New Roman"/>
          <w:sz w:val="20"/>
        </w:rPr>
        <w:t>”) coated with an outer layer of polyvinyl alcohol (“</w:t>
      </w:r>
      <w:r>
        <w:rPr>
          <w:rFonts w:ascii="Times New Roman" w:hAnsi="Times New Roman"/>
          <w:b/>
          <w:sz w:val="20"/>
        </w:rPr>
        <w:t>PVA</w:t>
      </w:r>
      <w:r>
        <w:rPr>
          <w:rFonts w:ascii="Times New Roman" w:hAnsi="Times New Roman"/>
          <w:sz w:val="20"/>
        </w:rPr>
        <w:t>”). FP is a synthetic trifluorinated corticosteroid with potent anti-inflammatory activity and a well-established systemic safety record in the form of widely used inhaled, intranasal, and topical agents. It has been shown to be locally active, and FP that is systemically absorbed is rapidly metabolized. Relative to other corticosteroids (including triamcinolone acetonide or “</w:t>
      </w:r>
      <w:r>
        <w:rPr>
          <w:rFonts w:ascii="Times New Roman" w:hAnsi="Times New Roman"/>
          <w:b/>
          <w:sz w:val="20"/>
        </w:rPr>
        <w:t>TCA</w:t>
      </w:r>
      <w:r>
        <w:rPr>
          <w:rFonts w:ascii="Times New Roman" w:hAnsi="Times New Roman"/>
          <w:sz w:val="20"/>
        </w:rPr>
        <w:t xml:space="preserve">”), FP has a high affinity for the glucocorticoid receptor, low solubility, a low rate of dissociation, and a comparatively long half-life. It is currently approved by the FDA, Health Canada, EMA, and many other regulatory agencies around the world. PVA is a biocompatible polymer with numerous biomedical applications and a 30-year safety record in various human tissues. We believe these characteristics make EP-104 a promising candidate for prolonged anti-inflammatory use. </w:t>
      </w:r>
    </w:p>
    <w:p>
      <w:pPr>
        <w:pStyle w:val="TextBody"/>
        <w:bidi w:val="0"/>
        <w:spacing w:before="240" w:after="0"/>
        <w:jc w:val="left"/>
        <w:rPr>
          <w:rFonts w:ascii="Times New Roman" w:hAnsi="Times New Roman"/>
          <w:sz w:val="20"/>
        </w:rPr>
      </w:pPr>
      <w:r>
        <w:rPr>
          <w:rFonts w:ascii="Times New Roman" w:hAnsi="Times New Roman"/>
          <w:sz w:val="20"/>
        </w:rPr>
        <w:t>EP-104 technology is designed to work through diffusion of the drug particles through a microns-thin polymer membrane. When the particles are injected at the disease site, extracellular fluid diffuses across the polymer membrane and into the particles themselves, dissolving some of the solid drug core, creating a saturated drug solution inside the microsphere with relatively low drug concentrations outside the microenvironment. Steady-state diffusion of FP across the polymer membrane and into the extracellular space then delivers the drug candidate to the intended area at a prolonged and steady rate with close to constant drug levels. This rate can be controlled by changing the size of the drug core and the properties of the polymer membrane, creating a target drug release profile designed to maximize disease treatment and reduce systemic and local adverse events often accompanying drugs having conventional release profiles.</w:t>
      </w:r>
    </w:p>
    <w:p>
      <w:pPr>
        <w:pStyle w:val="TextBody"/>
        <w:bidi w:val="0"/>
        <w:spacing w:before="240" w:after="0"/>
        <w:jc w:val="left"/>
        <w:rPr>
          <w:rFonts w:ascii="Times New Roman" w:hAnsi="Times New Roman"/>
          <w:sz w:val="20"/>
        </w:rPr>
      </w:pPr>
      <w:r>
        <w:rPr>
          <w:rFonts w:ascii="Times New Roman" w:hAnsi="Times New Roman"/>
          <w:sz w:val="20"/>
        </w:rPr>
        <w:t xml:space="preserve">Another key feature differentiating EP-104 from other extended-release IA corticosteroid formulations is that more than 90% by weight of EP-104 is the active FP component in the investigational drug product, compared to less than 30% in other polymer-based extended-release products which use degradation. </w:t>
      </w:r>
    </w:p>
    <w:p>
      <w:pPr>
        <w:pStyle w:val="TextBody"/>
        <w:bidi w:val="0"/>
        <w:spacing w:before="240" w:after="0"/>
        <w:jc w:val="left"/>
        <w:rPr>
          <w:rFonts w:ascii="Times New Roman" w:hAnsi="Times New Roman"/>
          <w:sz w:val="20"/>
        </w:rPr>
      </w:pPr>
      <w:r>
        <w:rPr>
          <w:rFonts w:ascii="Times New Roman" w:hAnsi="Times New Roman"/>
          <w:sz w:val="20"/>
        </w:rPr>
        <w:t xml:space="preserve">FP, although approved by the FDA, Health Canada, EMA and other regulatory agencies, is not currently approved for use in any formulation for the treatment of symptoms in either EoE or OA. To our knowledge, EP-104GI and EP-104IAR are the only extended-release formulations of FP in development for these conditions. We believe that the EP-104 drug delivery technology platform has the potential to have a beneficial application for EoE, given the already-established efficacy of oral immediate release of FP in this indication. We believe the drug delivery technology platform also has the potential to be an effective treatment for OA based on the proven efficacy of other corticosteroids for this condition. The potential for an improved treatment of EoE and OA with our proprietary formulations of EP-104 is further supported by a continually expanding library of data supporting the value of extended-release steroids. </w:t>
      </w:r>
    </w:p>
    <w:p>
      <w:pPr>
        <w:pStyle w:val="TextBody"/>
        <w:bidi w:val="0"/>
        <w:spacing w:before="240" w:after="0"/>
        <w:jc w:val="left"/>
        <w:rPr>
          <w:rFonts w:ascii="Times New Roman" w:hAnsi="Times New Roman"/>
          <w:sz w:val="20"/>
        </w:rPr>
      </w:pPr>
      <w:r>
        <w:rPr>
          <w:rFonts w:ascii="Times New Roman" w:hAnsi="Times New Roman"/>
          <w:sz w:val="20"/>
        </w:rPr>
        <w:t>EP-104 consists of a vial of EP-104 powder and a separate vial of liquid (referred to as the “</w:t>
      </w:r>
      <w:r>
        <w:rPr>
          <w:rFonts w:ascii="Times New Roman" w:hAnsi="Times New Roman"/>
          <w:b/>
          <w:sz w:val="20"/>
        </w:rPr>
        <w:t>Vehicle</w:t>
      </w:r>
      <w:r>
        <w:rPr>
          <w:rFonts w:ascii="Times New Roman" w:hAnsi="Times New Roman"/>
          <w:sz w:val="20"/>
        </w:rPr>
        <w:t xml:space="preserve">”). Before injection, the Vehicle is mixed with the dry powder to suspend the EP-104 particles; this enables the EP-104 powder to be injected into the patient. In an ongoing stability study, the powder has proven stable for 48 months when stored at room temperature. Batches of EP-104 are currently manufactured at the projected initial batch scale required for launch.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EP-104GI for Eosinophilic Esophagitis (EoE) </w:t>
      </w:r>
    </w:p>
    <w:p>
      <w:pPr>
        <w:pStyle w:val="TextBody"/>
        <w:bidi w:val="0"/>
        <w:spacing w:before="120" w:after="0"/>
        <w:jc w:val="left"/>
        <w:rPr>
          <w:rFonts w:ascii="Times New Roman" w:hAnsi="Times New Roman"/>
          <w:sz w:val="20"/>
        </w:rPr>
      </w:pPr>
      <w:r>
        <w:rPr>
          <w:rFonts w:ascii="Times New Roman" w:hAnsi="Times New Roman"/>
          <w:sz w:val="20"/>
        </w:rPr>
        <w:t xml:space="preserve">EP-104 is being developed for the treatment of eosinophilic esophagitis (EoE). We believe adaptations to the original formulation of EP-104, including modifications to the carrier vehicle and dose, will result in the creation of EP-104GI specific to GI indications. </w:t>
      </w:r>
    </w:p>
    <w:p>
      <w:pPr>
        <w:pStyle w:val="TextBody"/>
        <w:bidi w:val="0"/>
        <w:spacing w:before="240" w:after="0"/>
        <w:jc w:val="left"/>
        <w:rPr>
          <w:rFonts w:ascii="Times New Roman" w:hAnsi="Times New Roman"/>
          <w:sz w:val="20"/>
        </w:rPr>
      </w:pPr>
      <w:r>
        <w:rPr>
          <w:rFonts w:ascii="Times New Roman" w:hAnsi="Times New Roman"/>
          <w:sz w:val="20"/>
        </w:rPr>
        <w:t xml:space="preserve">EoE is characterized by complex type 2 inflammation of the esophagus, leading to difficulty swallowing, pain, and food impaction. Uncontrolled inflammation from EoE can lead to fibrostenosis, where buildup of scarring tissue reduces distensibility and function and may even cause narrowing and blockage of the esophagus. </w:t>
      </w:r>
    </w:p>
    <w:p>
      <w:pPr>
        <w:pStyle w:val="TextBody"/>
        <w:bidi w:val="0"/>
        <w:spacing w:before="360" w:after="0"/>
        <w:jc w:val="left"/>
        <w:rPr>
          <w:rFonts w:ascii="Times New Roman" w:hAnsi="Times New Roman"/>
          <w:i/>
          <w:sz w:val="20"/>
        </w:rPr>
      </w:pPr>
      <w:r>
        <w:rPr>
          <w:rFonts w:ascii="Times New Roman" w:hAnsi="Times New Roman"/>
          <w:i/>
          <w:sz w:val="20"/>
        </w:rPr>
        <w:t xml:space="preserve">Market Size </w:t>
      </w:r>
    </w:p>
    <w:p>
      <w:pPr>
        <w:pStyle w:val="TextBody"/>
        <w:bidi w:val="0"/>
        <w:spacing w:before="120" w:after="0"/>
        <w:jc w:val="left"/>
        <w:rPr>
          <w:rFonts w:ascii="Times New Roman" w:hAnsi="Times New Roman"/>
          <w:sz w:val="20"/>
        </w:rPr>
      </w:pPr>
      <w:r>
        <w:rPr>
          <w:rFonts w:ascii="Times New Roman" w:hAnsi="Times New Roman"/>
          <w:sz w:val="20"/>
        </w:rPr>
        <w:t>EoE has experienced a global increase in incidence and prevalence over the last decades, particularly in the US and Europe. EoE was classified as rare by the U.S. National Organization for Rare Disorders (“</w:t>
      </w:r>
      <w:r>
        <w:rPr>
          <w:rFonts w:ascii="Times New Roman" w:hAnsi="Times New Roman"/>
          <w:b/>
          <w:sz w:val="20"/>
        </w:rPr>
        <w:t>NORD</w:t>
      </w:r>
      <w:r>
        <w:rPr>
          <w:rFonts w:ascii="Times New Roman" w:hAnsi="Times New Roman"/>
          <w:sz w:val="20"/>
        </w:rPr>
        <w:t xml:space="preserve">”), however a 5-fold increase in the prevalence of EoE reported between 2009 and 2022, has resulted in the disease no longer being considered rare. The increase in prevalence highlights the growing burden of the disease and the need for new treatments. This burden on healthcare systems and patients is further compounded as EoE frequently leads to mental health issues (anxiety, depression, symptoms hypervigilance, social isolation) and hospitalization and ER visits for food bolus impaction.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rapid growth, the most accurate estimates of the incidence and prevalence of EoE are from recently published studies. Thel et al. in 2025 reported a standardized prevalence of 142.5/100 000 in the US, representing &gt;470 000 cases in the US. These numbers were based on patient records from 2022 for patients under 65 (derived from MarketScan), and from patient records from 2017 for patients 65 years and older (derived from Medicare). Given the current growth trajectory, we believe these numbers are likely an underestimate of the current EoE prevalence. Although disease awareness has increased over the years among medical practitioners, these dramatic increases in reports of the incidence and prevalence of EoE appear to be due, at least in part, to a natural raise in cases, as they outpace the rates of diagnostic procedures. Overall, we believe the ongoing global increase in cases and costs of EoE highlight the significant need for novel, safe, efficacious and cost-effective treatments to improve outcomes in the management of the disease. </w:t>
      </w:r>
    </w:p>
    <w:p>
      <w:pPr>
        <w:pStyle w:val="TextBody"/>
        <w:bidi w:val="0"/>
        <w:spacing w:before="360" w:after="0"/>
        <w:jc w:val="left"/>
        <w:rPr>
          <w:rFonts w:ascii="Times New Roman" w:hAnsi="Times New Roman"/>
          <w:i/>
          <w:sz w:val="20"/>
        </w:rPr>
      </w:pPr>
      <w:r>
        <w:rPr>
          <w:rFonts w:ascii="Times New Roman" w:hAnsi="Times New Roman"/>
          <w:i/>
          <w:sz w:val="20"/>
        </w:rPr>
        <w:t xml:space="preserve">Development of EP-104GI for EoE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Non-clinical Studies </w:t>
      </w:r>
    </w:p>
    <w:p>
      <w:pPr>
        <w:pStyle w:val="TextBody"/>
        <w:bidi w:val="0"/>
        <w:spacing w:before="120" w:after="0"/>
        <w:jc w:val="left"/>
        <w:rPr>
          <w:rFonts w:ascii="Times New Roman" w:hAnsi="Times New Roman"/>
          <w:sz w:val="20"/>
        </w:rPr>
      </w:pPr>
      <w:r>
        <w:rPr>
          <w:rFonts w:ascii="Times New Roman" w:hAnsi="Times New Roman"/>
          <w:sz w:val="20"/>
        </w:rPr>
        <w:t xml:space="preserve">Non-clinical studies are underway to support the registration program. These activities include safety and biocompatibility evaluations of EP-104IAR excipients and non-clinical studies to provide information needed to support the continued clinical investigation of EP-104GI product candidates in humans.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Clinical Studies </w:t>
      </w:r>
    </w:p>
    <w:p>
      <w:pPr>
        <w:pStyle w:val="TextBody"/>
        <w:bidi w:val="0"/>
        <w:spacing w:before="120" w:after="0"/>
        <w:jc w:val="left"/>
        <w:rPr>
          <w:rFonts w:ascii="Times New Roman" w:hAnsi="Times New Roman"/>
          <w:sz w:val="20"/>
        </w:rPr>
      </w:pPr>
      <w:r>
        <w:rPr>
          <w:rFonts w:ascii="Times New Roman" w:hAnsi="Times New Roman"/>
          <w:sz w:val="20"/>
        </w:rPr>
        <w:t xml:space="preserve">The RESOLVE clinical study is active at sites in Canada, the Netherlands, Australia, UK and Switzerland and New Zealand. The trial comprises two parts: (1) an open-label dose Phase 1b/2a escalation and (2) a randomized, blinded, vehicle-controlled Phase 2b dose optimization. </w:t>
      </w:r>
    </w:p>
    <w:p>
      <w:pPr>
        <w:pStyle w:val="TextBody"/>
        <w:bidi w:val="0"/>
        <w:spacing w:before="240" w:after="0"/>
        <w:jc w:val="left"/>
        <w:rPr>
          <w:rFonts w:ascii="Times New Roman" w:hAnsi="Times New Roman"/>
          <w:sz w:val="20"/>
        </w:rPr>
      </w:pPr>
      <w:r>
        <w:rPr>
          <w:rFonts w:ascii="Times New Roman" w:hAnsi="Times New Roman"/>
          <w:sz w:val="20"/>
        </w:rPr>
        <w:t xml:space="preserve">Part One: Enrolment of this phase of the trial is now complete. . No dose-limiting toxicities or drug-related serious adverse events (SAEs) have occurred. Serum glucose and cortisol levels have generally been stable post-dose. Transient decreases in serum cortisol have been observed, however, there has been no indication of adrenal insufficiency through clinical signs or symptoms or via ACTH stimulation tests. Available pharmacokinetic data reveal dose-dependent plasma FP concentrations with near-constant levels achieved after the initial peak. Symptom responses assessed by patient questionnaires have generally improved with increasing EP-104GI dose. In the available data, initial symptom improvements at Week 4 have been maintained or enhanced by Week 24 and have remained below baseline values for up to 36 weeks. Histological assessments at Week 12 demonstrate progressive improvements with increasing EP-104GI dose. The Week 36 data available suggest these histological responses can be maintained. Initial data from lower dose cohorts demonstrated sustained symptom response after 52 weeks of treatment. We anticipate continued data readouts from subsequent dose-escalation cohorts throughout 2026, and ongoing enrolment in the dose optimization portion.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 Two: The RESOLVE clinical study was amended to add a randomized, blinded, vehicle-controlled, dose optimization portion that will enroll approximately 120 adult patients with a confirmed EoE diagnosis and active EoE symptoms. In this part of the study, an initial 30 patients will be randomized 2:1 to receive EP-104GI 120mg total dose or matching vehicle control. Subsequently, 30 additional patients will be randomized 2:1 to receive 160mg or a matching vehicle control. Then an additional 60 patients will be randomized 1:1:1 to receive 120mg, 160mg or vehicle control. The first patient was dosed in the randomized dose optimization portion of the study on July 7, 2025. Outcomes for safety, pharmacokinetics and efficacy are being collected at multiple timepoints for up to 52 weeks post-dose. Interim data from the Phase 2b portion of the RESOLVE study is expected to be available in Q4 2026. </w:t>
      </w:r>
    </w:p>
    <w:p>
      <w:pPr>
        <w:pStyle w:val="TextBody"/>
        <w:bidi w:val="0"/>
        <w:spacing w:before="240" w:after="0"/>
        <w:jc w:val="left"/>
        <w:rPr>
          <w:rFonts w:ascii="Times New Roman" w:hAnsi="Times New Roman"/>
          <w:sz w:val="20"/>
        </w:rPr>
      </w:pPr>
      <w:r>
        <w:rPr>
          <w:rFonts w:ascii="Times New Roman" w:hAnsi="Times New Roman"/>
          <w:sz w:val="20"/>
        </w:rPr>
        <w:t xml:space="preserve">Subsequent steps in the research program will be determined following analysis of results as well as interaction with key opinion leaders and regulatory authorities. Pre-IND feedback from the FDA received on December 3, 2024 provided clarity on IND-enabling early program requirements. We agreed on the design of an IND-enabling non-clinical study and have initiated this study. We expect that at least one Phase 3 study assessing both efficacy (reduced histological signs and improved symptoms) and safety of EP-104GI will be required to seek marketing approval for EP-104GI for EoE. The development program is subject to further discussions with FDA. </w:t>
      </w:r>
    </w:p>
    <w:p>
      <w:pPr>
        <w:pStyle w:val="TextBody"/>
        <w:bidi w:val="0"/>
        <w:spacing w:before="360" w:after="0"/>
        <w:jc w:val="left"/>
        <w:rPr>
          <w:rFonts w:ascii="Times New Roman" w:hAnsi="Times New Roman"/>
          <w:i/>
          <w:sz w:val="20"/>
        </w:rPr>
      </w:pPr>
      <w:r>
        <w:rPr>
          <w:rFonts w:ascii="Times New Roman" w:hAnsi="Times New Roman"/>
          <w:i/>
          <w:sz w:val="20"/>
        </w:rPr>
        <w:t xml:space="preserve">Summary of EP-104IAR for Osteoarthritis </w:t>
      </w:r>
    </w:p>
    <w:p>
      <w:pPr>
        <w:pStyle w:val="TextBody"/>
        <w:bidi w:val="0"/>
        <w:spacing w:before="120" w:after="0"/>
        <w:jc w:val="left"/>
        <w:rPr>
          <w:rFonts w:ascii="Times New Roman" w:hAnsi="Times New Roman"/>
          <w:sz w:val="20"/>
        </w:rPr>
      </w:pPr>
      <w:r>
        <w:rPr>
          <w:rFonts w:ascii="Times New Roman" w:hAnsi="Times New Roman"/>
          <w:sz w:val="20"/>
        </w:rPr>
        <w:t xml:space="preserve">EP-104IAR has been evaluated in two clinical studies in OA patients, including a double-blind, placebo-controlled clinical study (protocol EP-104IAR-201) that assessed the efficacy, safety and PK of a single 25 mg dose of EP-104IAR in 318 patients with moderate knee OA. Top-line data readout was positive, and was announced on June 26, 2023. Results of the study have been published in </w:t>
      </w:r>
      <w:r>
        <w:rPr>
          <w:rFonts w:ascii="Times New Roman" w:hAnsi="Times New Roman"/>
          <w:i/>
          <w:sz w:val="20"/>
        </w:rPr>
        <w:t>The Lancet Rheumatology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2024, we engaged with the FDA in an End-of-Phase-2 meeting to discuss results from the SPRINGBOARD study and to discuss the necessary clinical and non-clinical activities to support an NDA for EP-104IAR.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strategically evaluating the best path forward with the EP-104IAR asset. This includes assessing global pricing dynamics, potential partnering opportunities, and the best allocation of resources to advance the Diffusphere pipeline. </w:t>
      </w:r>
    </w:p>
    <w:p>
      <w:pPr>
        <w:pStyle w:val="TextBody"/>
        <w:bidi w:val="0"/>
        <w:spacing w:before="360" w:after="0"/>
        <w:jc w:val="left"/>
        <w:rPr>
          <w:rFonts w:ascii="Times New Roman" w:hAnsi="Times New Roman"/>
          <w:i/>
          <w:sz w:val="20"/>
        </w:rPr>
      </w:pPr>
      <w:r>
        <w:rPr>
          <w:rFonts w:ascii="Times New Roman" w:hAnsi="Times New Roman"/>
          <w:i/>
          <w:sz w:val="20"/>
        </w:rPr>
        <w:t xml:space="preserve">Lifecycle Opportunities for EP-104 Products </w:t>
      </w:r>
    </w:p>
    <w:p>
      <w:pPr>
        <w:pStyle w:val="TextBody"/>
        <w:bidi w:val="0"/>
        <w:spacing w:before="120" w:after="0"/>
        <w:jc w:val="left"/>
        <w:rPr>
          <w:rFonts w:ascii="Times New Roman" w:hAnsi="Times New Roman"/>
          <w:sz w:val="20"/>
        </w:rPr>
      </w:pPr>
      <w:r>
        <w:rPr>
          <w:rFonts w:ascii="Times New Roman" w:hAnsi="Times New Roman"/>
          <w:sz w:val="20"/>
        </w:rPr>
        <w:t xml:space="preserve">Corticosteroids are broadly used for various indications that may benefit from a targeted delivery and extended-release profile with minimal adverse events. Natural lifecycle extensions for EP-104 products could include other joints affected by OA, other inflammatory arthropathies, or other inflammatory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Eupraxia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Our focus over the 24 months following the date of this MD&amp;A will be the execution of the EP-104 development programs, including: </w:t>
      </w:r>
    </w:p>
    <w:p>
      <w:pPr>
        <w:pStyle w:val="TextBody"/>
        <w:bidi w:val="0"/>
        <w:spacing w:before="240" w:after="0"/>
        <w:jc w:val="left"/>
        <w:rPr>
          <w:rFonts w:ascii="Times New Roman" w:hAnsi="Times New Roman"/>
          <w:sz w:val="20"/>
        </w:rPr>
      </w:pPr>
      <w:r>
        <w:rPr>
          <w:rFonts w:ascii="Times New Roman" w:hAnsi="Times New Roman"/>
          <w:sz w:val="20"/>
        </w:rPr>
        <w:t xml:space="preserve">EP-104GI Program: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Completed enrollment of the Phase 1b RESOLVE clinical study to evaluate the safety and effectiveness of EP-104GI in the treatment of EoE; Continuing to follow patients and receive results throughout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enrollment of patients into the Phase 2 randomized, placebo-controlled component of the RESOLVE trial to further assess the optimal dose(s).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non-clinical work to support filing an IND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Optimize and manufacture material to support EP-104GI clinical trials, including development of a new vehicle better suited to the location and mode of injection;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a Phase 3 program to evaluate the effectiveness and safety of EP-104GI in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two clinical trials in additional indications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EP-104IAR Program: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progress the EP-104IAR clinical program into Phase 3, in conjunction with additional funding opportunities specifically focused on developing EP-104IAR (potentially including a potential collaboration partner).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EP-104 Platform: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strengthen the IP portfolio around the EP-104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evaluate portfolio options for EP-104 and the Diffusphere technology platform;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develop the manufacturing process to support all programs.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appropriate, we may use strategic collaborations or partnerships to accelerate development and maximize the commercial potential of our development programs. In parallel, we intend to seek out-licencing, co-development or marketing partners for our technology, with the potential to expand and exploit its application fully. It is our intention to put in place conditions and resources, including the potential use of licensing partnerships, that support the success of the development program, marketing authorization(s) and commercialization across multiple jurisdictions, as well as exploitation of any opportunities for lifecycle and patent extension. Depending on market conditions, this may take the form of co-development or commercialization partnerships, transactional opportunities and/or public financing options. </w:t>
      </w:r>
    </w:p>
    <w:p>
      <w:pPr>
        <w:pStyle w:val="TextBody"/>
        <w:bidi w:val="0"/>
        <w:spacing w:before="240" w:after="0"/>
        <w:jc w:val="left"/>
        <w:rPr>
          <w:rFonts w:ascii="Times New Roman" w:hAnsi="Times New Roman"/>
          <w:sz w:val="20"/>
        </w:rPr>
      </w:pPr>
      <w:r>
        <w:rPr>
          <w:rFonts w:ascii="Times New Roman" w:hAnsi="Times New Roman"/>
          <w:sz w:val="20"/>
        </w:rPr>
        <w:t xml:space="preserve">Pipeline programs are another area of potential growth in the next 24 months. Our technology is potentially compatible with various drugs and therapeutic indications. The pipeline strategy focuses on modulating the release of existing drugs to achieve better clinical outcomes in areas of high medical need. We believe the technology has the potential to be particularly suitable for diseases requiring precisely targeted and controlled localized therapy where broader tissue or systemic exposure should be avoided (e.g., tumour oncology). We have previously investigated indications involving post-surgical pain (EP-105) and post-surgical site infections (EP-201). While both programs demonstrated preclinical evidence of supporting our technology, these programs are currently paused so we can remain focused on the programs described previously in this MD&amp;A.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several pipeline candidates in development with a goal to add two pipeline product candidates over the next 24 months to allow for sustained corporate growth. We expect this to involve a multidisciplinary review of candidate drugs, formulation development, </w:t>
      </w:r>
      <w:r>
        <w:rPr>
          <w:rFonts w:ascii="Times New Roman" w:hAnsi="Times New Roman"/>
          <w:i/>
          <w:sz w:val="20"/>
        </w:rPr>
        <w:t>in vitro</w:t>
      </w:r>
      <w:r>
        <w:rPr>
          <w:rFonts w:ascii="Times New Roman" w:hAnsi="Times New Roman"/>
          <w:sz w:val="20"/>
        </w:rPr>
        <w:t xml:space="preserve"> screening to identify the most promising lead candidates and non-clinical proof-of-concept studies. The information generated from these inquiries will determine whether we should proceed with further development. </w:t>
      </w:r>
    </w:p>
    <w:p>
      <w:pPr>
        <w:pStyle w:val="TextBody"/>
        <w:bidi w:val="0"/>
        <w:spacing w:before="360" w:after="0"/>
        <w:jc w:val="left"/>
        <w:rPr>
          <w:rFonts w:ascii="Times New Roman" w:hAnsi="Times New Roman"/>
          <w:i/>
          <w:sz w:val="20"/>
        </w:rPr>
      </w:pPr>
      <w:r>
        <w:rPr>
          <w:rFonts w:ascii="Times New Roman" w:hAnsi="Times New Roman"/>
          <w:i/>
          <w:sz w:val="20"/>
        </w:rPr>
        <w:t xml:space="preserve">Significant Company Events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2026, the Company announced positive tissue health data from its ongoing RESOLVE trial in EoE demonstrating near-complete improvement on biopsy in the highest dosed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February 20, 2026, the Company announced that it closed its public offering (the “2026 Offering”) of 7,607,145 Common Shares, which includes the issuance of 1,178,571 Common Shares upon full exercise of the option to purchase additional shares granted to the underwriters, at a price to the public of $7.00 per Common Share, and 1,428,571 Pre-Funded Warrants (each, a “Pre-Funded Warrant”) at a price of $6.99999 per Pre-Funded Warrant, which equals the public offering price per Common Share less the $0.000001 per share exercise price of each Pre-Funded Warrant, for gross proceeds of approximately $63.2 million, before deducting the underwriting commissions and estimated expenses incurred in connection with the 2026 Offering. Cantor Fitzgerald &amp; Co. and LifeSci Capital LLC acted as joint book-running managers for the 2026 Offering. Bloom Burton Securities Inc. and Craig-Hallum Capital Group, LLC also acted as co-managers for the 2026 Offering. The Company intends to use the net proceeds from the 2026 Offering primarily for the continued advancement of EP-104GI for EoE, and to undertake the necessary commercial/market development activities to prepare for the eventual product launch. The Company also intends to use a portion of the proceeds to accelerate and expand its plans to pursue clinical studies with EP-104GI in multiple additional gastrointestinal indications, including in esophageal strictures and fibrostenotic Crohn’s disease. </w:t>
      </w:r>
    </w:p>
    <w:p>
      <w:pPr>
        <w:pStyle w:val="TextBody"/>
        <w:bidi w:val="0"/>
        <w:spacing w:before="240" w:after="0"/>
        <w:jc w:val="left"/>
        <w:rPr>
          <w:rFonts w:ascii="Times New Roman" w:hAnsi="Times New Roman"/>
          <w:sz w:val="20"/>
        </w:rPr>
      </w:pPr>
      <w:r>
        <w:rPr>
          <w:rFonts w:ascii="Times New Roman" w:hAnsi="Times New Roman"/>
          <w:sz w:val="20"/>
        </w:rPr>
        <w:t xml:space="preserve">On March 17, 2026, the Company announced six-month symptom data from the highest dose cohort in its ongoing Phase 1b/2a RESOLVE trial in EoE. </w:t>
      </w:r>
    </w:p>
    <w:p>
      <w:pPr>
        <w:pStyle w:val="TextBody"/>
        <w:bidi w:val="0"/>
        <w:spacing w:before="240" w:after="0"/>
        <w:jc w:val="left"/>
        <w:rPr>
          <w:rFonts w:ascii="Times New Roman" w:hAnsi="Times New Roman"/>
          <w:sz w:val="20"/>
        </w:rPr>
      </w:pPr>
      <w:r>
        <w:rPr>
          <w:rFonts w:ascii="Times New Roman" w:hAnsi="Times New Roman"/>
          <w:sz w:val="20"/>
        </w:rPr>
        <w:t xml:space="preserve">On April 21, 2026, the Company announced nine-month tissue health and symptom data from the highest dose cohort in its ongoing Phase 1b/2a RESOLVE trial in EoE. </w:t>
      </w:r>
    </w:p>
    <w:p>
      <w:pPr>
        <w:pStyle w:val="TextBody"/>
        <w:bidi w:val="0"/>
        <w:spacing w:before="240" w:after="0"/>
        <w:jc w:val="left"/>
        <w:rPr>
          <w:rFonts w:ascii="Times New Roman" w:hAnsi="Times New Roman"/>
          <w:sz w:val="20"/>
        </w:rPr>
      </w:pPr>
      <w:r>
        <w:rPr>
          <w:rFonts w:ascii="Times New Roman" w:hAnsi="Times New Roman"/>
          <w:sz w:val="20"/>
        </w:rPr>
        <w:t xml:space="preserve">On May 4, 2026, the Company announced the appointment Dr Jeymi Tambiah as Chief Medical Officer. </w:t>
      </w:r>
    </w:p>
    <w:p>
      <w:pPr>
        <w:pStyle w:val="TextBody"/>
        <w:bidi w:val="0"/>
        <w:spacing w:before="240" w:after="0"/>
        <w:jc w:val="left"/>
        <w:rPr>
          <w:rFonts w:ascii="Times New Roman" w:hAnsi="Times New Roman"/>
          <w:sz w:val="20"/>
        </w:rPr>
      </w:pPr>
      <w:r>
        <w:rPr>
          <w:rFonts w:ascii="Times New Roman" w:hAnsi="Times New Roman"/>
          <w:sz w:val="20"/>
        </w:rPr>
        <w:t xml:space="preserve">On May 5, 2026, the Company announced EREFS Data from its Ongoing Phase 1b/2a RESOLVE Trial in Eosinophilic Esophagitis at Digestive Disease Week (DDW). </w:t>
      </w:r>
    </w:p>
    <w:p>
      <w:pPr>
        <w:pStyle w:val="TextBody"/>
        <w:bidi w:val="0"/>
        <w:spacing w:before="240" w:after="0"/>
        <w:jc w:val="left"/>
        <w:rPr>
          <w:rFonts w:ascii="Times New Roman" w:hAnsi="Times New Roman"/>
          <w:sz w:val="20"/>
        </w:rPr>
      </w:pPr>
      <w:r>
        <w:rPr>
          <w:rFonts w:ascii="Times New Roman" w:hAnsi="Times New Roman"/>
          <w:sz w:val="20"/>
        </w:rPr>
        <w:t xml:space="preserve">On May 7, 2026 the Company announced EoEHSS Sub Scores Data from its Ongoing Phase 1b/2a RESOLVE Trial in Eosinophilic Esophagitis at Digestive Disease Week (DDW).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financial information reported herein for the three months ended March 31, 2026 has been derived from the interim consolidated financial statements for the three months ended March 31, 2026 prepared in accordance with U.S. GAAP. The Company’s reporting currency is the U.S. dollar. The Canadian dollar continues to be the functional currency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Consolidated Balance Sheet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43"/>
        <w:gridCol w:w="220"/>
        <w:gridCol w:w="60"/>
        <w:gridCol w:w="1369"/>
        <w:gridCol w:w="155"/>
        <w:gridCol w:w="174"/>
        <w:gridCol w:w="73"/>
        <w:gridCol w:w="1403"/>
        <w:gridCol w:w="158"/>
      </w:tblGrid>
      <w:tr>
        <w:trPr/>
        <w:tc>
          <w:tcPr>
            <w:tcW w:w="414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r>
              <w:rPr/>
              <w:br/>
            </w:r>
            <w:r>
              <w:rPr>
                <w:b/>
              </w:rPr>
              <w:t>$</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r>
              <w:rPr/>
              <w:br/>
            </w:r>
            <w:r>
              <w:rPr>
                <w:b/>
              </w:rPr>
              <w:t>$</w:t>
            </w:r>
          </w:p>
        </w:tc>
        <w:tc>
          <w:tcPr>
            <w:tcW w:w="158" w:type="dxa"/>
            <w:tcBorders/>
            <w:vAlign w:val="bottom"/>
          </w:tcPr>
          <w:p>
            <w:pPr>
              <w:pStyle w:val="TableContents"/>
              <w:bidi w:val="0"/>
              <w:spacing w:before="0" w:after="283"/>
              <w:jc w:val="left"/>
              <w:rPr/>
            </w:pPr>
            <w:r>
              <w:rPr/>
              <w:t> </w:t>
            </w:r>
          </w:p>
        </w:tc>
      </w:tr>
      <w:tr>
        <w:trPr/>
        <w:tc>
          <w:tcPr>
            <w:tcW w:w="4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58,500,024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80,563,482</w:t>
            </w:r>
          </w:p>
        </w:tc>
        <w:tc>
          <w:tcPr>
            <w:tcW w:w="158" w:type="dxa"/>
            <w:tcBorders/>
            <w:shd w:fill="CCEEFF" w:val="clear"/>
            <w:vAlign w:val="bottom"/>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80,378,789</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145,353,342</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86,150,008</w:t>
            </w:r>
          </w:p>
        </w:tc>
        <w:tc>
          <w:tcPr>
            <w:tcW w:w="158" w:type="dxa"/>
            <w:tcBorders/>
            <w:shd w:fill="CCEEFF" w:val="clear"/>
            <w:vAlign w:val="bottom"/>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sz w:val="20"/>
              </w:rPr>
            </w:pPr>
            <w:r>
              <w:rPr>
                <w:rFonts w:ascii="Times New Roman" w:hAnsi="Times New Roman"/>
                <w:sz w:val="20"/>
              </w:rPr>
              <w:t>Equity attributable to owners of the Company</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137,784,419</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82,041,436</w:t>
            </w:r>
          </w:p>
        </w:tc>
        <w:tc>
          <w:tcPr>
            <w:tcW w:w="158" w:type="dxa"/>
            <w:tcBorders/>
            <w:vAlign w:val="bottom"/>
          </w:tcPr>
          <w:p>
            <w:pPr>
              <w:pStyle w:val="TableContents"/>
              <w:bidi w:val="0"/>
              <w:spacing w:before="0" w:after="283"/>
              <w:jc w:val="left"/>
              <w:rPr/>
            </w:pPr>
            <w:r>
              <w:rPr/>
              <w:t> </w:t>
            </w:r>
          </w:p>
        </w:tc>
      </w:tr>
      <w:tr>
        <w:trPr/>
        <w:tc>
          <w:tcPr>
            <w:tcW w:w="4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(1,596,758</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(1,595,343</w:t>
            </w:r>
          </w:p>
        </w:tc>
        <w:tc>
          <w:tcPr>
            <w:tcW w:w="158" w:type="dxa"/>
            <w:tcBorders/>
            <w:shd w:fill="CCEEFF" w:val="clear"/>
            <w:vAlign w:val="bottom"/>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(136,187,661</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80,446,093</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Cash decreased by $22,063,458 to $58,500,024 as at March 31, 2026 from December 31, 2025. This decrease was attributable primarily to the Company’s net loss of $12,010,915 (less share-based compensation of $1,753,925), and purchase of short-term investment of $79,724,564 offset by the proceeds of the public offering of Common Shares which closed on February 20, 2026 (the “</w:t>
      </w:r>
      <w:r>
        <w:rPr>
          <w:rFonts w:ascii="Times New Roman" w:hAnsi="Times New Roman"/>
          <w:b/>
          <w:sz w:val="20"/>
        </w:rPr>
        <w:t>2026 Offering”</w:t>
      </w:r>
      <w:r>
        <w:rPr>
          <w:rFonts w:ascii="Times New Roman" w:hAnsi="Times New Roman"/>
          <w:sz w:val="20"/>
        </w:rPr>
        <w:t xml:space="preserve">) of $58,634,895 (net of transaction costs) and proceeds from the exercise of common share purchase warrants of $9,834,232 for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Total assets increased by $59,203,334 to $145,353,342 as at March 31, 2026 from December 31, 2025. This increase was primarily due to the decrease in cash referenced above offset by the purchase of short-term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pay any dividends or make any distributions to shareholders in any of the above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w:t>
      </w:r>
      <w:r>
        <w:rPr>
          <w:rFonts w:ascii="Times New Roman" w:hAnsi="Times New Roman"/>
          <w:i/>
          <w:sz w:val="20"/>
        </w:rPr>
        <w:t>elected Consolidated Statements of Operations and Comprehensive Loss Data</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4"/>
        <w:gridCol w:w="279"/>
        <w:gridCol w:w="102"/>
        <w:gridCol w:w="2018"/>
        <w:gridCol w:w="155"/>
        <w:gridCol w:w="257"/>
        <w:gridCol w:w="114"/>
        <w:gridCol w:w="2008"/>
        <w:gridCol w:w="158"/>
      </w:tblGrid>
      <w:tr>
        <w:trPr/>
        <w:tc>
          <w:tcPr>
            <w:tcW w:w="2664"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64"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 ended</w:t>
              <w:br/>
              <w:t>March 31, 2026</w:t>
            </w:r>
            <w:r>
              <w:rPr/>
              <w:br/>
            </w:r>
            <w:r>
              <w:rPr>
                <w:b/>
              </w:rPr>
              <w:t>$</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122"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 2025</w:t>
            </w:r>
            <w:r>
              <w:rPr/>
              <w:br/>
            </w:r>
            <w:r>
              <w:rPr>
                <w:b/>
              </w:rPr>
              <w:t>$</w:t>
            </w:r>
          </w:p>
        </w:tc>
        <w:tc>
          <w:tcPr>
            <w:tcW w:w="158" w:type="dxa"/>
            <w:tcBorders/>
            <w:vAlign w:val="bottom"/>
          </w:tcPr>
          <w:p>
            <w:pPr>
              <w:pStyle w:val="TableContents"/>
              <w:bidi w:val="0"/>
              <w:spacing w:before="0" w:after="283"/>
              <w:jc w:val="left"/>
              <w:rPr/>
            </w:pPr>
            <w:r>
              <w:rPr/>
              <w:t> </w:t>
            </w:r>
          </w:p>
        </w:tc>
      </w:tr>
      <w:tr>
        <w:trPr/>
        <w:tc>
          <w:tcPr>
            <w:tcW w:w="2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0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2664" w:type="dxa"/>
            <w:tcBorders/>
          </w:tcPr>
          <w:p>
            <w:pPr>
              <w:pStyle w:val="TableContents"/>
              <w:bidi w:val="0"/>
              <w:spacing w:before="0" w:after="0"/>
              <w:jc w:val="left"/>
              <w:rPr>
                <w:rFonts w:ascii="Times New Roman" w:hAnsi="Times New Roman"/>
                <w:sz w:val="20"/>
              </w:rPr>
            </w:pPr>
            <w:r>
              <w:rPr>
                <w:rFonts w:ascii="Times New Roman" w:hAnsi="Times New Roman"/>
                <w:sz w:val="20"/>
              </w:rPr>
              <w:t>Net loss for the period – Owners of the Company</w:t>
            </w:r>
          </w:p>
        </w:tc>
        <w:tc>
          <w:tcPr>
            <w:tcW w:w="27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18" w:type="dxa"/>
            <w:tcBorders/>
            <w:vAlign w:val="bottom"/>
          </w:tcPr>
          <w:p>
            <w:pPr>
              <w:pStyle w:val="TableContents"/>
              <w:bidi w:val="0"/>
              <w:spacing w:before="0" w:after="283"/>
              <w:jc w:val="right"/>
              <w:rPr/>
            </w:pPr>
            <w:r>
              <w:rPr/>
              <w:t>(12,653,431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08" w:type="dxa"/>
            <w:tcBorders/>
            <w:vAlign w:val="bottom"/>
          </w:tcPr>
          <w:p>
            <w:pPr>
              <w:pStyle w:val="TableContents"/>
              <w:bidi w:val="0"/>
              <w:spacing w:before="0" w:after="283"/>
              <w:jc w:val="right"/>
              <w:rPr/>
            </w:pPr>
            <w:r>
              <w:rPr/>
              <w:t>(6,762,608</w:t>
            </w:r>
          </w:p>
        </w:tc>
        <w:tc>
          <w:tcPr>
            <w:tcW w:w="158" w:type="dxa"/>
            <w:tcBorders/>
            <w:vAlign w:val="bottom"/>
          </w:tcPr>
          <w:p>
            <w:pPr>
              <w:pStyle w:val="TableContents"/>
              <w:bidi w:val="0"/>
              <w:spacing w:before="0" w:after="283"/>
              <w:jc w:val="left"/>
              <w:rPr/>
            </w:pPr>
            <w:r>
              <w:rPr/>
              <w:t>) </w:t>
            </w:r>
          </w:p>
        </w:tc>
      </w:tr>
      <w:tr>
        <w:trPr/>
        <w:tc>
          <w:tcPr>
            <w:tcW w:w="2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for the period – Non-controlling interest</w:t>
            </w:r>
          </w:p>
        </w:tc>
        <w:tc>
          <w:tcPr>
            <w:tcW w:w="2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18" w:type="dxa"/>
            <w:tcBorders/>
            <w:shd w:fill="CCEEFF" w:val="clear"/>
            <w:vAlign w:val="bottom"/>
          </w:tcPr>
          <w:p>
            <w:pPr>
              <w:pStyle w:val="TableContents"/>
              <w:bidi w:val="0"/>
              <w:spacing w:before="0" w:after="283"/>
              <w:jc w:val="right"/>
              <w:rPr/>
            </w:pPr>
            <w:r>
              <w:rPr/>
              <w:t>(1,415</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08" w:type="dxa"/>
            <w:tcBorders/>
            <w:shd w:fill="CCEEFF" w:val="clear"/>
            <w:vAlign w:val="bottom"/>
          </w:tcPr>
          <w:p>
            <w:pPr>
              <w:pStyle w:val="TableContents"/>
              <w:bidi w:val="0"/>
              <w:spacing w:before="0" w:after="283"/>
              <w:jc w:val="right"/>
              <w:rPr/>
            </w:pPr>
            <w:r>
              <w:rPr/>
              <w:t>(4,667</w:t>
            </w:r>
          </w:p>
        </w:tc>
        <w:tc>
          <w:tcPr>
            <w:tcW w:w="158" w:type="dxa"/>
            <w:tcBorders/>
            <w:shd w:fill="CCEEFF" w:val="clear"/>
            <w:vAlign w:val="bottom"/>
          </w:tcPr>
          <w:p>
            <w:pPr>
              <w:pStyle w:val="TableContents"/>
              <w:bidi w:val="0"/>
              <w:spacing w:before="0" w:after="283"/>
              <w:jc w:val="left"/>
              <w:rPr/>
            </w:pPr>
            <w:r>
              <w:rPr/>
              <w:t>) </w:t>
            </w:r>
          </w:p>
        </w:tc>
      </w:tr>
      <w:tr>
        <w:trPr/>
        <w:tc>
          <w:tcPr>
            <w:tcW w:w="2664" w:type="dxa"/>
            <w:tcBorders/>
          </w:tcPr>
          <w:p>
            <w:pPr>
              <w:pStyle w:val="TableContents"/>
              <w:bidi w:val="0"/>
              <w:spacing w:before="0" w:after="0"/>
              <w:jc w:val="left"/>
              <w:rPr>
                <w:rFonts w:ascii="Times New Roman" w:hAnsi="Times New Roman"/>
                <w:sz w:val="20"/>
              </w:rPr>
            </w:pPr>
            <w:r>
              <w:rPr>
                <w:rFonts w:ascii="Times New Roman" w:hAnsi="Times New Roman"/>
                <w:sz w:val="20"/>
              </w:rPr>
              <w:t>Net loss for the period</w:t>
            </w:r>
          </w:p>
        </w:tc>
        <w:tc>
          <w:tcPr>
            <w:tcW w:w="27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18"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08" w:type="dxa"/>
            <w:tcBorders/>
            <w:vAlign w:val="bottom"/>
          </w:tcPr>
          <w:p>
            <w:pPr>
              <w:pStyle w:val="TableContents"/>
              <w:bidi w:val="0"/>
              <w:spacing w:before="0" w:after="283"/>
              <w:jc w:val="right"/>
              <w:rPr/>
            </w:pPr>
            <w:r>
              <w:rPr/>
              <w:t>(6,767,275</w:t>
            </w:r>
          </w:p>
        </w:tc>
        <w:tc>
          <w:tcPr>
            <w:tcW w:w="158" w:type="dxa"/>
            <w:tcBorders/>
            <w:vAlign w:val="bottom"/>
          </w:tcPr>
          <w:p>
            <w:pPr>
              <w:pStyle w:val="TableContents"/>
              <w:bidi w:val="0"/>
              <w:spacing w:before="0" w:after="283"/>
              <w:jc w:val="left"/>
              <w:rPr/>
            </w:pPr>
            <w:r>
              <w:rPr/>
              <w:t>) </w:t>
            </w:r>
          </w:p>
        </w:tc>
      </w:tr>
      <w:tr>
        <w:trPr/>
        <w:tc>
          <w:tcPr>
            <w:tcW w:w="2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 for the period</w:t>
            </w:r>
          </w:p>
        </w:tc>
        <w:tc>
          <w:tcPr>
            <w:tcW w:w="27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18" w:type="dxa"/>
            <w:tcBorders/>
            <w:shd w:fill="CCEEFF" w:val="clear"/>
            <w:vAlign w:val="bottom"/>
          </w:tcPr>
          <w:p>
            <w:pPr>
              <w:pStyle w:val="TableContents"/>
              <w:bidi w:val="0"/>
              <w:spacing w:before="0" w:after="283"/>
              <w:jc w:val="right"/>
              <w:rPr/>
            </w:pPr>
            <w:r>
              <w:rPr/>
              <w:t>(15,094,270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08" w:type="dxa"/>
            <w:tcBorders/>
            <w:shd w:fill="CCEEFF" w:val="clear"/>
            <w:vAlign w:val="bottom"/>
          </w:tcPr>
          <w:p>
            <w:pPr>
              <w:pStyle w:val="TableContents"/>
              <w:bidi w:val="0"/>
              <w:spacing w:before="0" w:after="283"/>
              <w:jc w:val="right"/>
              <w:rPr/>
            </w:pPr>
            <w:r>
              <w:rPr/>
              <w:t>(6,729,111</w:t>
            </w:r>
          </w:p>
        </w:tc>
        <w:tc>
          <w:tcPr>
            <w:tcW w:w="158" w:type="dxa"/>
            <w:tcBorders/>
            <w:shd w:fill="CCEEFF" w:val="clear"/>
            <w:vAlign w:val="bottom"/>
          </w:tcPr>
          <w:p>
            <w:pPr>
              <w:pStyle w:val="TableContents"/>
              <w:bidi w:val="0"/>
              <w:spacing w:before="0" w:after="283"/>
              <w:jc w:val="left"/>
              <w:rPr/>
            </w:pPr>
            <w:r>
              <w:rPr/>
              <w:t>) </w:t>
            </w:r>
          </w:p>
        </w:tc>
      </w:tr>
      <w:tr>
        <w:trPr/>
        <w:tc>
          <w:tcPr>
            <w:tcW w:w="2664" w:type="dxa"/>
            <w:tcBorders/>
          </w:tcPr>
          <w:p>
            <w:pPr>
              <w:pStyle w:val="TableContents"/>
              <w:bidi w:val="0"/>
              <w:spacing w:before="0" w:after="0"/>
              <w:jc w:val="left"/>
              <w:rPr>
                <w:rFonts w:ascii="Times New Roman" w:hAnsi="Times New Roman"/>
                <w:sz w:val="20"/>
              </w:rPr>
            </w:pPr>
            <w:r>
              <w:rPr>
                <w:rFonts w:ascii="Times New Roman" w:hAnsi="Times New Roman"/>
                <w:sz w:val="20"/>
              </w:rPr>
              <w:t>Loss per share, basic and diluted - Owners of the Company</w:t>
            </w:r>
          </w:p>
        </w:tc>
        <w:tc>
          <w:tcPr>
            <w:tcW w:w="27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18" w:type="dxa"/>
            <w:tcBorders/>
            <w:vAlign w:val="bottom"/>
          </w:tcPr>
          <w:p>
            <w:pPr>
              <w:pStyle w:val="TableContents"/>
              <w:bidi w:val="0"/>
              <w:spacing w:before="0" w:after="283"/>
              <w:jc w:val="right"/>
              <w:rPr/>
            </w:pPr>
            <w:r>
              <w:rPr/>
              <w:t>(0.23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08" w:type="dxa"/>
            <w:tcBorders/>
            <w:vAlign w:val="bottom"/>
          </w:tcPr>
          <w:p>
            <w:pPr>
              <w:pStyle w:val="TableContents"/>
              <w:bidi w:val="0"/>
              <w:spacing w:before="0" w:after="283"/>
              <w:jc w:val="right"/>
              <w:rPr/>
            </w:pPr>
            <w:r>
              <w:rPr/>
              <w:t>(0.21</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net loss for the three months ended March 31, 2026 increased by $5,887,571 when compared to the three months ended March 31, 2025, primarily due to an increase in general and administrative costs of $1,508,695as well as an increase in research and development costs of $7,324,130 offset by an increase in other income of $2,956,365. </w:t>
      </w:r>
    </w:p>
    <w:p>
      <w:pPr>
        <w:pStyle w:val="TextBody"/>
        <w:bidi w:val="0"/>
        <w:spacing w:before="240" w:after="0"/>
        <w:jc w:val="left"/>
        <w:rPr>
          <w:rFonts w:ascii="Times New Roman" w:hAnsi="Times New Roman"/>
          <w:sz w:val="20"/>
        </w:rPr>
      </w:pPr>
      <w:r>
        <w:rPr>
          <w:rFonts w:ascii="Times New Roman" w:hAnsi="Times New Roman"/>
          <w:sz w:val="20"/>
        </w:rPr>
        <w:t xml:space="preserve">While several of the Company’s vendors have inflationary clauses in their contracts, the impact of inflation is considered immaterial.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the Three Months Ended March 31, 2026 and 2025 </w:t>
      </w:r>
    </w:p>
    <w:p>
      <w:pPr>
        <w:pStyle w:val="TextBody"/>
        <w:bidi w:val="0"/>
        <w:spacing w:before="120" w:after="0"/>
        <w:jc w:val="left"/>
        <w:rPr>
          <w:rFonts w:ascii="Times New Roman" w:hAnsi="Times New Roman"/>
          <w:i/>
          <w:sz w:val="20"/>
        </w:rPr>
      </w:pPr>
      <w:r>
        <w:rPr>
          <w:rFonts w:ascii="Times New Roman" w:hAnsi="Times New Roman"/>
          <w:i/>
          <w:sz w:val="20"/>
        </w:rPr>
        <w:t xml:space="preserve">Results of Operations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91"/>
        <w:gridCol w:w="154"/>
        <w:gridCol w:w="102"/>
        <w:gridCol w:w="2032"/>
        <w:gridCol w:w="155"/>
        <w:gridCol w:w="144"/>
        <w:gridCol w:w="114"/>
        <w:gridCol w:w="2021"/>
        <w:gridCol w:w="155"/>
        <w:gridCol w:w="144"/>
        <w:gridCol w:w="60"/>
        <w:gridCol w:w="1060"/>
        <w:gridCol w:w="155"/>
        <w:gridCol w:w="144"/>
        <w:gridCol w:w="59"/>
        <w:gridCol w:w="935"/>
        <w:gridCol w:w="163"/>
      </w:tblGrid>
      <w:tr>
        <w:trPr/>
        <w:tc>
          <w:tcPr>
            <w:tcW w:w="1791"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9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134"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 ended</w:t>
              <w:br/>
              <w:t>March 31, 2026</w:t>
            </w:r>
            <w:r>
              <w:rPr/>
              <w:br/>
            </w:r>
            <w:r>
              <w:rPr>
                <w:b/>
              </w:rPr>
              <w:t>$</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 ended</w:t>
              <w:br/>
              <w:t>March 31, 2025</w:t>
            </w:r>
            <w:r>
              <w:rPr/>
              <w:br/>
            </w:r>
            <w:r>
              <w:rPr>
                <w:b/>
              </w:rPr>
              <w:t>$</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Change</w:t>
            </w:r>
            <w:r>
              <w:rPr/>
              <w:br/>
            </w:r>
            <w:r>
              <w:rPr>
                <w:b/>
              </w:rPr>
              <w:t>$</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pPr>
            <w:r>
              <w:rPr>
                <w:b/>
              </w:rPr>
              <w:t>Change</w:t>
            </w:r>
            <w:r>
              <w:rPr/>
              <w:br/>
            </w:r>
            <w:r>
              <w:rPr>
                <w:b/>
              </w:rPr>
              <w:t>%</w:t>
            </w:r>
          </w:p>
        </w:tc>
        <w:tc>
          <w:tcPr>
            <w:tcW w:w="163" w:type="dxa"/>
            <w:tcBorders/>
            <w:vAlign w:val="bottom"/>
          </w:tcPr>
          <w:p>
            <w:pPr>
              <w:pStyle w:val="TableContents"/>
              <w:bidi w:val="0"/>
              <w:spacing w:before="0" w:after="283"/>
              <w:jc w:val="left"/>
              <w:rPr/>
            </w:pPr>
            <w:r>
              <w:rPr/>
              <w:t> </w:t>
            </w:r>
          </w:p>
        </w:tc>
      </w:tr>
      <w:tr>
        <w:trPr/>
        <w:tc>
          <w:tcPr>
            <w:tcW w:w="1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4,783,089</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right"/>
              <w:rPr/>
            </w:pPr>
            <w:r>
              <w:rPr/>
              <w:t>3,274,394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1,508,695</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46.08</w:t>
            </w:r>
          </w:p>
        </w:tc>
        <w:tc>
          <w:tcPr>
            <w:tcW w:w="163" w:type="dxa"/>
            <w:tcBorders/>
            <w:shd w:fill="CCEEFF" w:val="clear"/>
            <w:vAlign w:val="bottom"/>
          </w:tcPr>
          <w:p>
            <w:pPr>
              <w:pStyle w:val="TableContents"/>
              <w:bidi w:val="0"/>
              <w:spacing w:before="0" w:after="283"/>
              <w:jc w:val="left"/>
              <w:rPr/>
            </w:pPr>
            <w:r>
              <w:rPr/>
              <w:t> </w:t>
            </w:r>
          </w:p>
        </w:tc>
      </w:tr>
      <w:tr>
        <w:trPr/>
        <w:tc>
          <w:tcPr>
            <w:tcW w:w="179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11,173,956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right"/>
              <w:rPr/>
            </w:pPr>
            <w:r>
              <w:rPr/>
              <w:t>3,849,826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7,324,130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190.25</w:t>
            </w:r>
          </w:p>
        </w:tc>
        <w:tc>
          <w:tcPr>
            <w:tcW w:w="163" w:type="dxa"/>
            <w:tcBorders/>
            <w:vAlign w:val="bottom"/>
          </w:tcPr>
          <w:p>
            <w:pPr>
              <w:pStyle w:val="TableContents"/>
              <w:bidi w:val="0"/>
              <w:spacing w:before="0" w:after="283"/>
              <w:jc w:val="left"/>
              <w:rPr/>
            </w:pPr>
            <w:r>
              <w:rPr/>
              <w:t> </w:t>
            </w:r>
          </w:p>
        </w:tc>
      </w:tr>
      <w:tr>
        <w:trPr/>
        <w:tc>
          <w:tcPr>
            <w:tcW w:w="1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(income)/expenses</w:t>
            </w:r>
          </w:p>
        </w:tc>
        <w:tc>
          <w:tcPr>
            <w:tcW w:w="1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(3,316,104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right"/>
              <w:rPr/>
            </w:pPr>
            <w:r>
              <w:rPr/>
              <w:t>(359,739</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(2,956,365</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821.81</w:t>
            </w:r>
          </w:p>
        </w:tc>
        <w:tc>
          <w:tcPr>
            <w:tcW w:w="163" w:type="dxa"/>
            <w:tcBorders/>
            <w:shd w:fill="CCEEFF" w:val="clear"/>
            <w:vAlign w:val="bottom"/>
          </w:tcPr>
          <w:p>
            <w:pPr>
              <w:pStyle w:val="TableContents"/>
              <w:bidi w:val="0"/>
              <w:spacing w:before="0" w:after="283"/>
              <w:jc w:val="left"/>
              <w:rPr/>
            </w:pPr>
            <w:r>
              <w:rPr/>
              <w:t> </w:t>
            </w:r>
          </w:p>
        </w:tc>
      </w:tr>
      <w:tr>
        <w:trPr/>
        <w:tc>
          <w:tcPr>
            <w:tcW w:w="179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2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791"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before tax expense</w:t>
            </w:r>
          </w:p>
        </w:tc>
        <w:tc>
          <w:tcPr>
            <w:tcW w:w="1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(12,640,941</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right"/>
              <w:rPr/>
            </w:pPr>
            <w:r>
              <w:rPr/>
              <w:t>(6,764,481</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(5,876,460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86.87</w:t>
            </w:r>
          </w:p>
        </w:tc>
        <w:tc>
          <w:tcPr>
            <w:tcW w:w="163" w:type="dxa"/>
            <w:tcBorders/>
            <w:vAlign w:val="bottom"/>
          </w:tcPr>
          <w:p>
            <w:pPr>
              <w:pStyle w:val="TableContents"/>
              <w:bidi w:val="0"/>
              <w:spacing w:before="0" w:after="283"/>
              <w:jc w:val="left"/>
              <w:rPr/>
            </w:pPr>
            <w:r>
              <w:rPr/>
              <w:t> </w:t>
            </w:r>
          </w:p>
        </w:tc>
      </w:tr>
      <w:tr>
        <w:trPr/>
        <w:tc>
          <w:tcPr>
            <w:tcW w:w="1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expense</w:t>
            </w:r>
          </w:p>
        </w:tc>
        <w:tc>
          <w:tcPr>
            <w:tcW w:w="1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13,905</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right"/>
              <w:rPr/>
            </w:pPr>
            <w:r>
              <w:rPr/>
              <w:t>2,794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11,111</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397.67</w:t>
            </w:r>
          </w:p>
        </w:tc>
        <w:tc>
          <w:tcPr>
            <w:tcW w:w="163" w:type="dxa"/>
            <w:tcBorders/>
            <w:shd w:fill="CCEEFF" w:val="clear"/>
            <w:vAlign w:val="bottom"/>
          </w:tcPr>
          <w:p>
            <w:pPr>
              <w:pStyle w:val="TableContents"/>
              <w:bidi w:val="0"/>
              <w:spacing w:before="0" w:after="283"/>
              <w:jc w:val="left"/>
              <w:rPr/>
            </w:pPr>
            <w:r>
              <w:rPr/>
              <w:t> </w:t>
            </w:r>
          </w:p>
        </w:tc>
      </w:tr>
      <w:tr>
        <w:trPr/>
        <w:tc>
          <w:tcPr>
            <w:tcW w:w="179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2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791"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right"/>
              <w:rPr/>
            </w:pPr>
            <w:r>
              <w:rPr/>
              <w:t>(6,767,275</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(5,887,571</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87.00</w:t>
            </w:r>
          </w:p>
        </w:tc>
        <w:tc>
          <w:tcPr>
            <w:tcW w:w="163" w:type="dxa"/>
            <w:tcBorders/>
            <w:vAlign w:val="bottom"/>
          </w:tcPr>
          <w:p>
            <w:pPr>
              <w:pStyle w:val="TableContents"/>
              <w:bidi w:val="0"/>
              <w:spacing w:before="0" w:after="283"/>
              <w:jc w:val="left"/>
              <w:rPr/>
            </w:pPr>
            <w:r>
              <w:rPr/>
              <w:t> </w:t>
            </w:r>
          </w:p>
        </w:tc>
      </w:tr>
      <w:tr>
        <w:trPr/>
        <w:tc>
          <w:tcPr>
            <w:tcW w:w="1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1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(2,439,424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right"/>
              <w:rPr/>
            </w:pPr>
            <w:r>
              <w:rPr/>
              <w:t>38,164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(2,477,588</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(6,491.95</w:t>
            </w:r>
          </w:p>
        </w:tc>
        <w:tc>
          <w:tcPr>
            <w:tcW w:w="163" w:type="dxa"/>
            <w:tcBorders/>
            <w:shd w:fill="CCEEFF" w:val="clear"/>
            <w:vAlign w:val="bottom"/>
          </w:tcPr>
          <w:p>
            <w:pPr>
              <w:pStyle w:val="TableContents"/>
              <w:bidi w:val="0"/>
              <w:spacing w:before="0" w:after="283"/>
              <w:jc w:val="left"/>
              <w:rPr/>
            </w:pPr>
            <w:r>
              <w:rPr/>
              <w:t>) </w:t>
            </w:r>
          </w:p>
        </w:tc>
      </w:tr>
      <w:tr>
        <w:trPr/>
        <w:tc>
          <w:tcPr>
            <w:tcW w:w="179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20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20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791"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loss</w:t>
            </w:r>
          </w:p>
        </w:tc>
        <w:tc>
          <w:tcPr>
            <w:tcW w:w="1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32" w:type="dxa"/>
            <w:tcBorders/>
            <w:vAlign w:val="bottom"/>
          </w:tcPr>
          <w:p>
            <w:pPr>
              <w:pStyle w:val="TableContents"/>
              <w:bidi w:val="0"/>
              <w:spacing w:before="0" w:after="283"/>
              <w:jc w:val="right"/>
              <w:rPr/>
            </w:pPr>
            <w:r>
              <w:rPr/>
              <w:t>(15,094,270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right"/>
              <w:rPr/>
            </w:pPr>
            <w:r>
              <w:rPr/>
              <w:t>(6,729,111</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(8,365,159</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124.31</w:t>
            </w:r>
          </w:p>
        </w:tc>
        <w:tc>
          <w:tcPr>
            <w:tcW w:w="1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Comparing the three months ended March 31, 2026, to the same period in 2025, general and administrative activities increased by $1,508,695. This increase is primarily due to an increase in stock-based compensation, salaries, bonuses, and benefits, as well as an increase in office costs and travel. This is partially offset by a decrease in public company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Comparing the three months ended March 31, 2026, to the same period in 2025, research and development activities increased by $7,324,130. This increase is primarily due to an increase in activities associated with the EP-104GI program, increases in salaries, bonuses, and benefits due to increased headcount and salary increases as well as an increase in other research and development costs, and stock-based compensation related to issuance of stock options and restricted share units.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Income/(Expenses) </w:t>
      </w:r>
    </w:p>
    <w:p>
      <w:pPr>
        <w:pStyle w:val="TextBody"/>
        <w:bidi w:val="0"/>
        <w:spacing w:before="120" w:after="0"/>
        <w:jc w:val="left"/>
        <w:rPr>
          <w:rFonts w:ascii="Times New Roman" w:hAnsi="Times New Roman"/>
          <w:sz w:val="20"/>
        </w:rPr>
      </w:pPr>
      <w:r>
        <w:rPr>
          <w:rFonts w:ascii="Times New Roman" w:hAnsi="Times New Roman"/>
          <w:sz w:val="20"/>
        </w:rPr>
        <w:t xml:space="preserve">Comparing the three months ended March 31, 2026, to the same period in 2025, other income increased by $2,956,365 primarily due to an increase of gain on foreign exchange of $2,190,670 and the increase of interest income of $764,620.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Quarterly Results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the tables below has been derived from both the Company’s audited consolidated financial statements and unaudited interim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quarterly operating results have varied substantially in the past and may vary substantially in the future. Accordingly, the information below is not necessarily indicative of results for any future quarter. </w:t>
      </w:r>
    </w:p>
    <w:p>
      <w:pPr>
        <w:pStyle w:val="TextBody"/>
        <w:bidi w:val="0"/>
        <w:spacing w:before="0" w:after="0"/>
        <w:jc w:val="left"/>
        <w:rPr/>
      </w:pPr>
      <w:r>
        <w:rPr/>
        <w:t> </w:t>
      </w:r>
    </w:p>
    <w:tbl>
      <w:tblPr>
        <w:tblW w:w="11755" w:type="dxa"/>
        <w:jc w:val="center"/>
        <w:tblInd w:w="0" w:type="dxa"/>
        <w:tblLayout w:type="fixed"/>
        <w:tblCellMar>
          <w:top w:w="0" w:type="dxa"/>
          <w:left w:w="0" w:type="dxa"/>
          <w:bottom w:w="0" w:type="dxa"/>
          <w:right w:w="0" w:type="dxa"/>
        </w:tblCellMar>
      </w:tblPr>
      <w:tblGrid>
        <w:gridCol w:w="815"/>
        <w:gridCol w:w="120"/>
        <w:gridCol w:w="60"/>
        <w:gridCol w:w="1175"/>
        <w:gridCol w:w="155"/>
        <w:gridCol w:w="60"/>
        <w:gridCol w:w="60"/>
        <w:gridCol w:w="1175"/>
        <w:gridCol w:w="155"/>
        <w:gridCol w:w="60"/>
        <w:gridCol w:w="60"/>
        <w:gridCol w:w="1055"/>
        <w:gridCol w:w="155"/>
        <w:gridCol w:w="60"/>
        <w:gridCol w:w="60"/>
        <w:gridCol w:w="1055"/>
        <w:gridCol w:w="155"/>
        <w:gridCol w:w="60"/>
        <w:gridCol w:w="60"/>
        <w:gridCol w:w="1055"/>
        <w:gridCol w:w="155"/>
        <w:gridCol w:w="60"/>
        <w:gridCol w:w="60"/>
        <w:gridCol w:w="1055"/>
        <w:gridCol w:w="155"/>
        <w:gridCol w:w="60"/>
        <w:gridCol w:w="60"/>
        <w:gridCol w:w="1055"/>
        <w:gridCol w:w="155"/>
        <w:gridCol w:w="60"/>
        <w:gridCol w:w="60"/>
        <w:gridCol w:w="1055"/>
        <w:gridCol w:w="155"/>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2026</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2025</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Sep 30,</w:t>
              <w:br/>
              <w:t>2025</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2025</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Mar 31,</w:t>
              <w:br/>
              <w:t>2025</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2024</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Sep 30,</w:t>
              <w:br/>
              <w:t>2024</w:t>
              <w:b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br/>
              <w:t>$</w:t>
            </w:r>
          </w:p>
        </w:tc>
        <w:tc>
          <w:tcPr>
            <w:tcW w:w="155"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Total net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(12,654,846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(16,721,336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(6,369,358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(8,747,683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(6,767,275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(7,532,342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(5,991,320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(6,063,894</w:t>
            </w:r>
          </w:p>
        </w:tc>
        <w:tc>
          <w:tcPr>
            <w:tcW w:w="155" w:type="dxa"/>
            <w:tcBorders/>
            <w:vAlign w:val="bottom"/>
          </w:tcPr>
          <w:p>
            <w:pPr>
              <w:pStyle w:val="TableContents"/>
              <w:bidi w:val="0"/>
              <w:spacing w:before="0" w:after="283"/>
              <w:jc w:val="left"/>
              <w:rPr/>
            </w:pPr>
            <w:r>
              <w:rPr/>
              <w:t>) </w:t>
            </w:r>
          </w:p>
        </w:tc>
      </w:tr>
      <w:tr>
        <w:trPr/>
        <w:tc>
          <w:tcPr>
            <w:tcW w:w="8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per share, basic and diluted (Owners of the Company)</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r>
      <w:tr>
        <w:trPr/>
        <w:tc>
          <w:tcPr>
            <w:tcW w:w="81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incurred net losses in each of its preceding eight quarters as a result of continued activities associated with the Phase 1b/2 clinical trial for EP-104GI.This trend is expected to continue into the future as we make further investments in our EP-104 programs. Research and development expenses are expected to increase as we undertake clinical trials and incur significant costs for CROs and consultants, and further investment in additional drug candidates in support of broader pipeline development. General and administrative expenses are likely to increase in the future as a result of ongoing costs associated with public company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shows the estimated use of net proceeds from the Company’s 2025 Offering and 2026 Offering excluding the effect of the option to purchase additional common shares compared with the actual use of net proceeds: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September 2025 Financing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64"/>
        <w:gridCol w:w="410"/>
        <w:gridCol w:w="247"/>
        <w:gridCol w:w="2010"/>
        <w:gridCol w:w="60"/>
        <w:gridCol w:w="410"/>
        <w:gridCol w:w="527"/>
        <w:gridCol w:w="1464"/>
        <w:gridCol w:w="63"/>
      </w:tblGrid>
      <w:tr>
        <w:trPr/>
        <w:tc>
          <w:tcPr>
            <w:tcW w:w="2564"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56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Amount to</w:t>
              <w:br/>
              <w:t>be Expended</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991" w:type="dxa"/>
            <w:gridSpan w:val="2"/>
            <w:tcBorders>
              <w:bottom w:val="single" w:sz="8" w:space="0" w:color="000000"/>
            </w:tcBorders>
            <w:tcMar>
              <w:bottom w:w="28" w:type="dxa"/>
            </w:tcMar>
            <w:vAlign w:val="bottom"/>
          </w:tcPr>
          <w:p>
            <w:pPr>
              <w:pStyle w:val="TableContents"/>
              <w:bidi w:val="0"/>
              <w:spacing w:before="0" w:after="283"/>
              <w:jc w:val="center"/>
              <w:rPr/>
            </w:pPr>
            <w:r>
              <w:rPr>
                <w:b/>
              </w:rPr>
              <w:t>Actual</w:t>
            </w:r>
            <w:r>
              <w:rPr/>
              <w:br/>
            </w:r>
            <w:r>
              <w:rPr>
                <w:b/>
              </w:rPr>
              <w:t>Amount Expended</w:t>
            </w:r>
          </w:p>
        </w:tc>
        <w:tc>
          <w:tcPr>
            <w:tcW w:w="63" w:type="dxa"/>
            <w:tcBorders/>
            <w:vAlign w:val="bottom"/>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Phase 2 development of EP-104GI</w:t>
            </w:r>
          </w:p>
        </w:tc>
        <w:tc>
          <w:tcPr>
            <w:tcW w:w="41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10" w:type="dxa"/>
            <w:tcBorders/>
            <w:shd w:fill="CCEEFF" w:val="clear"/>
            <w:vAlign w:val="bottom"/>
          </w:tcPr>
          <w:p>
            <w:pPr>
              <w:pStyle w:val="TableContents"/>
              <w:bidi w:val="0"/>
              <w:spacing w:before="0" w:after="283"/>
              <w:jc w:val="right"/>
              <w:rPr/>
            </w:pPr>
            <w:r>
              <w:rPr/>
              <w:t>28,400,000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564" w:type="dxa"/>
            <w:tcBorders/>
          </w:tcPr>
          <w:p>
            <w:pPr>
              <w:pStyle w:val="TableContents"/>
              <w:bidi w:val="0"/>
              <w:spacing w:before="0" w:after="0"/>
              <w:jc w:val="left"/>
              <w:rPr>
                <w:rFonts w:ascii="Times New Roman" w:hAnsi="Times New Roman"/>
                <w:sz w:val="20"/>
              </w:rPr>
            </w:pPr>
            <w:r>
              <w:rPr>
                <w:rFonts w:ascii="Times New Roman" w:hAnsi="Times New Roman"/>
                <w:sz w:val="20"/>
              </w:rPr>
              <w:t>Nonclinical Studies Enabling Phase 3 and NDA Patient Pool Expansion</w:t>
            </w:r>
          </w:p>
        </w:tc>
        <w:tc>
          <w:tcPr>
            <w:tcW w:w="41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10"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Phase 2 trial in GI Indications for EP-104GI</w:t>
            </w:r>
          </w:p>
        </w:tc>
        <w:tc>
          <w:tcPr>
            <w:tcW w:w="41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010" w:type="dxa"/>
            <w:tcBorders/>
            <w:shd w:fill="CCEEFF" w:val="clear"/>
            <w:vAlign w:val="bottom"/>
          </w:tcPr>
          <w:p>
            <w:pPr>
              <w:pStyle w:val="TableContents"/>
              <w:bidi w:val="0"/>
              <w:spacing w:before="0" w:after="283"/>
              <w:jc w:val="right"/>
              <w:rPr/>
            </w:pPr>
            <w:r>
              <w:rPr/>
              <w:t>7,100,000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564" w:type="dxa"/>
            <w:tcBorders/>
          </w:tcPr>
          <w:p>
            <w:pPr>
              <w:pStyle w:val="TableContents"/>
              <w:bidi w:val="0"/>
              <w:spacing w:before="0" w:after="0"/>
              <w:jc w:val="left"/>
              <w:rPr>
                <w:rFonts w:ascii="Times New Roman" w:hAnsi="Times New Roman"/>
                <w:sz w:val="20"/>
              </w:rPr>
            </w:pPr>
            <w:r>
              <w:rPr>
                <w:rFonts w:ascii="Times New Roman" w:hAnsi="Times New Roman"/>
                <w:sz w:val="20"/>
              </w:rPr>
              <w:t>Pipeline</w:t>
            </w:r>
          </w:p>
        </w:tc>
        <w:tc>
          <w:tcPr>
            <w:tcW w:w="41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010" w:type="dxa"/>
            <w:tcBorders/>
            <w:vAlign w:val="bottom"/>
          </w:tcPr>
          <w:p>
            <w:pPr>
              <w:pStyle w:val="TableContents"/>
              <w:bidi w:val="0"/>
              <w:spacing w:before="0" w:after="283"/>
              <w:jc w:val="right"/>
              <w:rPr/>
            </w:pPr>
            <w:r>
              <w:rPr/>
              <w:t>3,400,000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564"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20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5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1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b/>
              </w:rPr>
            </w:pPr>
            <w:r>
              <w:rPr>
                <w:b/>
              </w:rPr>
              <w:t>$</w:t>
            </w:r>
          </w:p>
        </w:tc>
        <w:tc>
          <w:tcPr>
            <w:tcW w:w="2010" w:type="dxa"/>
            <w:tcBorders/>
            <w:shd w:fill="CCEEFF" w:val="clear"/>
            <w:vAlign w:val="bottom"/>
          </w:tcPr>
          <w:p>
            <w:pPr>
              <w:pStyle w:val="TableContents"/>
              <w:bidi w:val="0"/>
              <w:spacing w:before="0" w:after="283"/>
              <w:jc w:val="right"/>
              <w:rPr>
                <w:b/>
              </w:rPr>
            </w:pPr>
            <w:r>
              <w:rPr>
                <w:b/>
              </w:rPr>
              <w:t>43,900,000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b/>
              </w:rPr>
            </w:pPr>
            <w:r>
              <w:rPr>
                <w:b/>
              </w:rPr>
              <w:t>$</w:t>
            </w:r>
          </w:p>
        </w:tc>
        <w:tc>
          <w:tcPr>
            <w:tcW w:w="146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564"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20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allocate the remaining net proceeds to working capital and other general corporate purposes. To date, there have been no material variances to the way the Company intended to use proceeds from the 2025 Offering.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February 2026 Financing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91"/>
        <w:gridCol w:w="416"/>
        <w:gridCol w:w="219"/>
        <w:gridCol w:w="1797"/>
        <w:gridCol w:w="60"/>
        <w:gridCol w:w="416"/>
        <w:gridCol w:w="526"/>
        <w:gridCol w:w="1465"/>
        <w:gridCol w:w="65"/>
      </w:tblGrid>
      <w:tr>
        <w:trPr/>
        <w:tc>
          <w:tcPr>
            <w:tcW w:w="2791"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 Amount</w:t>
              <w:br/>
              <w:t>to be Expended</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991" w:type="dxa"/>
            <w:gridSpan w:val="2"/>
            <w:tcBorders>
              <w:bottom w:val="single" w:sz="8" w:space="0" w:color="000000"/>
            </w:tcBorders>
            <w:tcMar>
              <w:bottom w:w="28" w:type="dxa"/>
            </w:tcMar>
            <w:vAlign w:val="bottom"/>
          </w:tcPr>
          <w:p>
            <w:pPr>
              <w:pStyle w:val="TableContents"/>
              <w:bidi w:val="0"/>
              <w:spacing w:before="0" w:after="283"/>
              <w:jc w:val="center"/>
              <w:rPr/>
            </w:pPr>
            <w:r>
              <w:rPr>
                <w:b/>
              </w:rPr>
              <w:t>Actual</w:t>
            </w:r>
            <w:r>
              <w:rPr/>
              <w:br/>
            </w:r>
            <w:r>
              <w:rPr>
                <w:b/>
              </w:rPr>
              <w:t>Amount Expended</w:t>
            </w:r>
          </w:p>
        </w:tc>
        <w:tc>
          <w:tcPr>
            <w:tcW w:w="65" w:type="dxa"/>
            <w:tcBorders/>
            <w:vAlign w:val="bottom"/>
          </w:tcPr>
          <w:p>
            <w:pPr>
              <w:pStyle w:val="TableContents"/>
              <w:bidi w:val="0"/>
              <w:spacing w:before="0" w:after="283"/>
              <w:jc w:val="left"/>
              <w:rPr/>
            </w:pPr>
            <w:r>
              <w:rPr/>
              <w:t> </w:t>
            </w:r>
          </w:p>
        </w:tc>
      </w:tr>
      <w:tr>
        <w:trPr/>
        <w:tc>
          <w:tcPr>
            <w:tcW w:w="2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Phase 3 development of EP-104GI</w:t>
            </w:r>
          </w:p>
        </w:tc>
        <w:tc>
          <w:tcPr>
            <w:tcW w:w="41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79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Phase 2 trial in GI Indications for EP-104GI</w:t>
            </w:r>
          </w:p>
        </w:tc>
        <w:tc>
          <w:tcPr>
            <w:tcW w:w="41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12,000,000</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791"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7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7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1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b/>
              </w:rPr>
            </w:pPr>
            <w:r>
              <w:rPr>
                <w:b/>
              </w:rPr>
              <w:t>$</w:t>
            </w:r>
          </w:p>
        </w:tc>
        <w:tc>
          <w:tcPr>
            <w:tcW w:w="1797" w:type="dxa"/>
            <w:tcBorders/>
            <w:shd w:fill="CCEEFF" w:val="clear"/>
            <w:vAlign w:val="bottom"/>
          </w:tcPr>
          <w:p>
            <w:pPr>
              <w:pStyle w:val="TableContents"/>
              <w:bidi w:val="0"/>
              <w:spacing w:before="0" w:after="283"/>
              <w:jc w:val="right"/>
              <w:rPr>
                <w:b/>
              </w:rPr>
            </w:pPr>
            <w:r>
              <w:rPr>
                <w:b/>
              </w:rPr>
              <w:t>20,000,000</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b/>
              </w:rPr>
            </w:pPr>
            <w:r>
              <w:rPr>
                <w:b/>
              </w:rPr>
              <w:t>$</w:t>
            </w:r>
          </w:p>
        </w:tc>
        <w:tc>
          <w:tcPr>
            <w:tcW w:w="146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791"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7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526" w:type="dxa"/>
            <w:tcBorders/>
            <w:vAlign w:val="bottom"/>
          </w:tcPr>
          <w:p>
            <w:pPr>
              <w:pStyle w:val="TableContents"/>
              <w:pBdr>
                <w:top w:val="single" w:sz="2" w:space="1" w:color="000000"/>
              </w:pBdr>
              <w:bidi w:val="0"/>
              <w:spacing w:before="0" w:after="0"/>
              <w:jc w:val="left"/>
              <w:rPr/>
            </w:pPr>
            <w:r>
              <w:rPr/>
              <w:t> </w:t>
            </w:r>
          </w:p>
        </w:tc>
        <w:tc>
          <w:tcPr>
            <w:tcW w:w="146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allocate the remaining net proceeds to working capital and other general corporate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Capital Resources and Outlook, Management of Cash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Company had cash of $58,500,024 (December 31, 2025 - $80,563,482). </w:t>
      </w:r>
    </w:p>
    <w:p>
      <w:pPr>
        <w:pStyle w:val="TextBody"/>
        <w:bidi w:val="0"/>
        <w:spacing w:before="240" w:after="0"/>
        <w:jc w:val="left"/>
        <w:rPr>
          <w:rFonts w:ascii="Times New Roman" w:hAnsi="Times New Roman"/>
          <w:sz w:val="20"/>
        </w:rPr>
      </w:pPr>
      <w:r>
        <w:rPr>
          <w:rFonts w:ascii="Times New Roman" w:hAnsi="Times New Roman"/>
          <w:sz w:val="20"/>
        </w:rPr>
        <w:t xml:space="preserve">The Company’s business does not currently generate revenue or positive cash flows from operations and is reliant on equity and debt financing to provide the necessary cash to continue its research and development activities and ongoing operations. There can be no assurance that financing will be available in the future with terms that are satisfactory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Company’s cash flow forecasts are continually updated to reflect actual cash inflows and outflows to monitor the requirements and timing for additional financial resources. Given the volatility of the Canadian dollar (“</w:t>
      </w:r>
      <w:r>
        <w:rPr>
          <w:rFonts w:ascii="Times New Roman" w:hAnsi="Times New Roman"/>
          <w:b/>
          <w:sz w:val="20"/>
        </w:rPr>
        <w:t>CAD</w:t>
      </w:r>
      <w:r>
        <w:rPr>
          <w:rFonts w:ascii="Times New Roman" w:hAnsi="Times New Roman"/>
          <w:sz w:val="20"/>
        </w:rPr>
        <w:t>”), U.S. dollar (“</w:t>
      </w:r>
      <w:r>
        <w:rPr>
          <w:rFonts w:ascii="Times New Roman" w:hAnsi="Times New Roman"/>
          <w:b/>
          <w:sz w:val="20"/>
        </w:rPr>
        <w:t>USD</w:t>
      </w:r>
      <w:r>
        <w:rPr>
          <w:rFonts w:ascii="Times New Roman" w:hAnsi="Times New Roman"/>
          <w:sz w:val="20"/>
        </w:rPr>
        <w:t>”), and Australian dollar (“</w:t>
      </w:r>
      <w:r>
        <w:rPr>
          <w:rFonts w:ascii="Times New Roman" w:hAnsi="Times New Roman"/>
          <w:b/>
          <w:sz w:val="20"/>
        </w:rPr>
        <w:t>AUD</w:t>
      </w:r>
      <w:r>
        <w:rPr>
          <w:rFonts w:ascii="Times New Roman" w:hAnsi="Times New Roman"/>
          <w:sz w:val="20"/>
        </w:rPr>
        <w:t xml:space="preserve">”) exchange rates, the Company estimates its USD, CAD and AUD expenses for the year and sets aside appropriate levels of each currency. By holding USD, CAD and AUD, the Company remains subject to currency fluctuations which effects its loss during any given year. </w:t>
      </w:r>
    </w:p>
    <w:p>
      <w:pPr>
        <w:pStyle w:val="TextBody"/>
        <w:bidi w:val="0"/>
        <w:spacing w:before="240" w:after="0"/>
        <w:jc w:val="left"/>
        <w:rPr>
          <w:rFonts w:ascii="Times New Roman" w:hAnsi="Times New Roman"/>
          <w:sz w:val="20"/>
        </w:rPr>
      </w:pPr>
      <w:r>
        <w:rPr>
          <w:rFonts w:ascii="Times New Roman" w:hAnsi="Times New Roman"/>
          <w:sz w:val="20"/>
        </w:rPr>
        <w:t xml:space="preserve">Based on our current plans, we believe that our existing cash and cash equivalents, combined with the proceeds from the exercise of EPRX.WT.A warrants will be sufficient to fund our planned operations into the second half of 2028. The Company continues to evaluate additional measures to preserve and extend its liquidity availability, including leveraging upfront proceeds from potential business development transactions, or securing additional equity or debt financing. The Company expects that its growth plans will require further capital. To meet these needs, the Company may pursue similar funding sources, with a focus on maintaining shareholder value and minimizing dilution.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Cash Flow for the Three Months ended March 31,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38"/>
        <w:gridCol w:w="337"/>
        <w:gridCol w:w="102"/>
        <w:gridCol w:w="2027"/>
        <w:gridCol w:w="155"/>
        <w:gridCol w:w="307"/>
        <w:gridCol w:w="114"/>
        <w:gridCol w:w="2017"/>
        <w:gridCol w:w="158"/>
      </w:tblGrid>
      <w:tr>
        <w:trPr/>
        <w:tc>
          <w:tcPr>
            <w:tcW w:w="2538"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129"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 2026</w:t>
            </w:r>
            <w:r>
              <w:rPr/>
              <w:br/>
            </w:r>
            <w:r>
              <w:rPr>
                <w:b/>
              </w:rPr>
              <w:t>$</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March 31, 2025</w:t>
            </w:r>
            <w:r>
              <w:rPr/>
              <w:br/>
            </w:r>
            <w:r>
              <w:rPr>
                <w:b/>
              </w:rPr>
              <w:t>$</w:t>
            </w:r>
          </w:p>
        </w:tc>
        <w:tc>
          <w:tcPr>
            <w:tcW w:w="158" w:type="dxa"/>
            <w:tcBorders/>
            <w:vAlign w:val="bottom"/>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33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20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201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3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27" w:type="dxa"/>
            <w:tcBorders/>
            <w:vAlign w:val="bottom"/>
          </w:tcPr>
          <w:p>
            <w:pPr>
              <w:pStyle w:val="TableContents"/>
              <w:bidi w:val="0"/>
              <w:spacing w:before="0" w:after="283"/>
              <w:jc w:val="right"/>
              <w:rPr/>
            </w:pPr>
            <w:r>
              <w:rPr/>
              <w:t>(10,146,747</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(6,003,071</w:t>
            </w:r>
          </w:p>
        </w:tc>
        <w:tc>
          <w:tcPr>
            <w:tcW w:w="158" w:type="dxa"/>
            <w:tcBorders/>
            <w:vAlign w:val="bottom"/>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3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(80,051,517</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(169,044</w:t>
            </w:r>
          </w:p>
        </w:tc>
        <w:tc>
          <w:tcPr>
            <w:tcW w:w="158"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3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27" w:type="dxa"/>
            <w:tcBorders/>
            <w:vAlign w:val="bottom"/>
          </w:tcPr>
          <w:p>
            <w:pPr>
              <w:pStyle w:val="TableContents"/>
              <w:bidi w:val="0"/>
              <w:spacing w:before="0" w:after="283"/>
              <w:jc w:val="right"/>
              <w:rPr/>
            </w:pPr>
            <w:r>
              <w:rPr/>
              <w:t>68,582,982</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429,923</w:t>
            </w:r>
          </w:p>
        </w:tc>
        <w:tc>
          <w:tcPr>
            <w:tcW w:w="158" w:type="dxa"/>
            <w:tcBorders/>
            <w:vAlign w:val="bottom"/>
          </w:tcPr>
          <w:p>
            <w:pPr>
              <w:pStyle w:val="TableContents"/>
              <w:bidi w:val="0"/>
              <w:spacing w:before="0" w:after="283"/>
              <w:jc w:val="left"/>
              <w:rPr/>
            </w:pPr>
            <w:r>
              <w:rPr/>
              <w:t> </w:t>
            </w:r>
          </w:p>
        </w:tc>
      </w:tr>
      <w:tr>
        <w:trPr/>
        <w:tc>
          <w:tcPr>
            <w:tcW w:w="253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20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201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decrease in cash</w:t>
            </w:r>
          </w:p>
        </w:tc>
        <w:tc>
          <w:tcPr>
            <w:tcW w:w="33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(21,615,282</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(5,742,192</w:t>
            </w:r>
          </w:p>
        </w:tc>
        <w:tc>
          <w:tcPr>
            <w:tcW w:w="158"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effect on cash</w:t>
            </w:r>
          </w:p>
        </w:tc>
        <w:tc>
          <w:tcPr>
            <w:tcW w:w="33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27" w:type="dxa"/>
            <w:tcBorders/>
            <w:vAlign w:val="bottom"/>
          </w:tcPr>
          <w:p>
            <w:pPr>
              <w:pStyle w:val="TableContents"/>
              <w:bidi w:val="0"/>
              <w:spacing w:before="0" w:after="283"/>
              <w:jc w:val="right"/>
              <w:rPr/>
            </w:pPr>
            <w:r>
              <w:rPr/>
              <w:t>(488,177</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95,496</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used in operating activities for the three months ended March 31, 2026 increased by $4,143,676 compared to the same period in the prior year. The primary driver of this increase was the increased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Cash used in investing activities for the three months ended March 31, 2026 increased by $79,882,473 compared to cash used in investing activities for the same period in the prior year. The primary driver of the increase was the purchase of short-term investments during the three months ended March 31, 2026. </w:t>
      </w:r>
    </w:p>
    <w:p>
      <w:pPr>
        <w:pStyle w:val="TextBody"/>
        <w:bidi w:val="0"/>
        <w:spacing w:before="240" w:after="0"/>
        <w:jc w:val="left"/>
        <w:rPr>
          <w:rFonts w:ascii="Times New Roman" w:hAnsi="Times New Roman"/>
          <w:sz w:val="20"/>
        </w:rPr>
      </w:pPr>
      <w:r>
        <w:rPr>
          <w:rFonts w:ascii="Times New Roman" w:hAnsi="Times New Roman"/>
          <w:sz w:val="20"/>
        </w:rPr>
        <w:t xml:space="preserve">Cash provided by financing activities for the three months ended March 31, 2026 increased by $68,153,059 compared to the same period in the prior year. The primary driver of the increase was the closing of the 2026 Offering for net proceeds of $58,634,895 that occurred February 20, 2026. In addition, $9,834,232 was received for the exercise of warrants. The primary driver of financing activity cash flows for the three months ended March 31, 2025 was the exercise of warrants for $416,406.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of the Company have been prepared on a going concern basis with the assumption that the Company will be able to realize its assets and discharge its liabilities and commitments in the normal course of business. At March 31, 2026, the Company had cash and cash equivalents of $58,500,024 as well as short-term investments of $80,378,789. The Company has not yet generated revenue from operations. The Company incurred a net loss of $12,654,846 during the three months ended March 31, 2026, and as of that date, the Company’s accumulated deficit was $182,233,405. As the Company is in the research and development stage, the recoverability of the costs incurred to date is dependent upon the ability of the Company to obtain the necessary funding to complete the research and development of its projects and upon future commercialization or proceeds from the monetization of research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will periodically have to raise funds to continue operations and recently raised proceeds of approximately $58.6 million (net of underwriting commissions and estimated expenses) through a public offering of 7,607,145 common shares of the Company and pre-funded warrants to purchase up to 1,428,571 common shares on February 20, 2026. Although it has been successful in doing so in the past, there is no assurance it will be able to do so in the future, especially with the ongoing geopolitical uncertainty affecting the global capital markets. The Company is active in its pursuit of additional funding through potential partnering and other strategic activities as well as grants to fund future research and development activities, and additional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continued operations of the Company are dependent on its ability to generate future cash flows or obtain additional funding. There is a risk that in the future, additional financing will not be available on a timely basis or on terms acceptable to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Long-Term Obligations and Other Contractual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be required to make milestone, royalty, and other research and development funding payments under research and development collaboration and other agreements with third parties. These payments are contingent upon the achievement of specific development, regulatory and/or commercial milestones. The Company has not accrued for these payments as of March 31, 2026 due to the uncertainty over whether these milestones will be achieved. The Company’s significant contingent milestone, royalty and other research and development commitments are as follows: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Auritec License Agreement </w:t>
      </w:r>
    </w:p>
    <w:p>
      <w:pPr>
        <w:pStyle w:val="TextBody"/>
        <w:bidi w:val="0"/>
        <w:spacing w:before="120" w:after="0"/>
        <w:jc w:val="left"/>
        <w:rPr>
          <w:rFonts w:ascii="Times New Roman" w:hAnsi="Times New Roman"/>
          <w:sz w:val="20"/>
        </w:rPr>
      </w:pPr>
      <w:r>
        <w:rPr>
          <w:rFonts w:ascii="Times New Roman" w:hAnsi="Times New Roman"/>
          <w:sz w:val="20"/>
        </w:rPr>
        <w:t>Auritec is a privately held clinical-stage drug delivery company that holds patents in the field of extended-release delivery of drug products utilizing its proprietary drug delivery platform, the “Plexis Platform”. Eupraxia, through its subsidiary, Eupraxia Pharmaceuticals USA LLC (“</w:t>
      </w:r>
      <w:r>
        <w:rPr>
          <w:rFonts w:ascii="Times New Roman" w:hAnsi="Times New Roman"/>
          <w:b/>
          <w:sz w:val="20"/>
        </w:rPr>
        <w:t>Eupraxia LLC</w:t>
      </w:r>
      <w:r>
        <w:rPr>
          <w:rFonts w:ascii="Times New Roman" w:hAnsi="Times New Roman"/>
          <w:sz w:val="20"/>
        </w:rPr>
        <w:t>”), is a party to an amended and restated license agreement dated effective October 9, 2018 (as further amended, the “</w:t>
      </w:r>
      <w:r>
        <w:rPr>
          <w:rFonts w:ascii="Times New Roman" w:hAnsi="Times New Roman"/>
          <w:b/>
          <w:sz w:val="20"/>
        </w:rPr>
        <w:t>Amended and Restated License Agreement</w:t>
      </w:r>
      <w:r>
        <w:rPr>
          <w:rFonts w:ascii="Times New Roman" w:hAnsi="Times New Roman"/>
          <w:sz w:val="20"/>
        </w:rPr>
        <w:t xml:space="preserve">”) with Auritec.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Amended and Restated License Agreement, Auritec has granted Eupraxia LLC an exclusive license (including the right to sublicense to its affiliates and third parties) under the licensed patents owned or controlled by Auritec and for all the technical information and know-how relating to the technology claimed in such patents or possessed by Auritec with respect to the use of the Plexis Platform for the delivery of fluticasone in all medical fields (except for the Excluded Fields (as defined in the Amended and Restated License Agreement)), to develop, make, have made, manufacture, use, commercialize, sell, sub-license, offer for sale, import, and have imported the Licensed Products (as defined in the Amended and Restated License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Amended and Restated License Agreement, in consideration for the rights and exclusive license granted to Eupraxia LLC, Eupraxia LLC paid the Upfront Fee (as defined in the Amended and Restated License Agreement) of $5,000,000 with the agreement currently in good standing.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Upfront Fee, pursuant to the Amended and Restated License Agreement, Eupraxia LLC has agreed to pay Auritec up to $30,000,000 upon achievement of certain regulatory and commercial milestones related to Licensed Products under the Amended and Restated License Agreement as well as a royalty of 4% of net sales of Licensed Products by Eupraxia USA or its affiliates, subject to certain reductions.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remaining milestone payment schedule. During the year ended December 31, 2024, the Company paid $5,000,000 to Auritec upon successful completion of the Phase 2b study.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90"/>
        <w:gridCol w:w="441"/>
        <w:gridCol w:w="220"/>
        <w:gridCol w:w="1826"/>
        <w:gridCol w:w="62"/>
      </w:tblGrid>
      <w:tr>
        <w:trPr/>
        <w:tc>
          <w:tcPr>
            <w:tcW w:w="439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3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Milestone Event</w:t>
            </w:r>
          </w:p>
        </w:tc>
        <w:tc>
          <w:tcPr>
            <w:tcW w:w="441" w:type="dxa"/>
            <w:tcBorders/>
            <w:vAlign w:val="bottom"/>
          </w:tcPr>
          <w:p>
            <w:pPr>
              <w:pStyle w:val="TableContents"/>
              <w:bidi w:val="0"/>
              <w:spacing w:before="0" w:after="283"/>
              <w:jc w:val="left"/>
              <w:rPr/>
            </w:pPr>
            <w:r>
              <w:rPr/>
              <w:t>  </w:t>
            </w:r>
          </w:p>
        </w:tc>
        <w:tc>
          <w:tcPr>
            <w:tcW w:w="2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Milestone Payment</w:t>
            </w:r>
          </w:p>
        </w:tc>
        <w:tc>
          <w:tcPr>
            <w:tcW w:w="62" w:type="dxa"/>
            <w:tcBorders/>
            <w:vAlign w:val="bottom"/>
          </w:tcPr>
          <w:p>
            <w:pPr>
              <w:pStyle w:val="TableContents"/>
              <w:bidi w:val="0"/>
              <w:spacing w:before="0" w:after="283"/>
              <w:jc w:val="left"/>
              <w:rPr/>
            </w:pPr>
            <w:r>
              <w:rPr/>
              <w:t> </w:t>
            </w:r>
          </w:p>
        </w:tc>
      </w:tr>
      <w:tr>
        <w:trPr/>
        <w:tc>
          <w:tcPr>
            <w:tcW w:w="4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OA Regulatory Approval</w:t>
            </w:r>
          </w:p>
        </w:tc>
        <w:tc>
          <w:tcPr>
            <w:tcW w:w="44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right"/>
              <w:rPr/>
            </w:pPr>
            <w:r>
              <w:rPr/>
              <w:t>5,000,000</w:t>
            </w:r>
          </w:p>
        </w:tc>
        <w:tc>
          <w:tcPr>
            <w:tcW w:w="62" w:type="dxa"/>
            <w:tcBorders/>
            <w:shd w:fill="CCEEFF" w:val="clear"/>
            <w:vAlign w:val="bottom"/>
          </w:tcPr>
          <w:p>
            <w:pPr>
              <w:pStyle w:val="TableContents"/>
              <w:bidi w:val="0"/>
              <w:spacing w:before="0" w:after="283"/>
              <w:jc w:val="left"/>
              <w:rPr/>
            </w:pPr>
            <w:r>
              <w:rPr/>
              <w:t> </w:t>
            </w:r>
          </w:p>
        </w:tc>
      </w:tr>
      <w:tr>
        <w:trPr/>
        <w:tc>
          <w:tcPr>
            <w:tcW w:w="4390" w:type="dxa"/>
            <w:tcBorders/>
          </w:tcPr>
          <w:p>
            <w:pPr>
              <w:pStyle w:val="TableContents"/>
              <w:bidi w:val="0"/>
              <w:spacing w:before="0" w:after="0"/>
              <w:jc w:val="left"/>
              <w:rPr>
                <w:rFonts w:ascii="Times New Roman" w:hAnsi="Times New Roman"/>
                <w:sz w:val="20"/>
              </w:rPr>
            </w:pPr>
            <w:r>
              <w:rPr>
                <w:rFonts w:ascii="Times New Roman" w:hAnsi="Times New Roman"/>
                <w:sz w:val="20"/>
              </w:rPr>
              <w:t>Second OA Regulatory Approval</w:t>
            </w:r>
          </w:p>
          <w:p>
            <w:pPr>
              <w:pStyle w:val="TableContents"/>
              <w:bidi w:val="0"/>
              <w:spacing w:before="0" w:after="20"/>
              <w:jc w:val="left"/>
              <w:rPr>
                <w:rFonts w:ascii="Times New Roman" w:hAnsi="Times New Roman"/>
                <w:sz w:val="20"/>
              </w:rPr>
            </w:pPr>
            <w:r>
              <w:rPr>
                <w:rFonts w:ascii="Times New Roman" w:hAnsi="Times New Roman"/>
                <w:sz w:val="20"/>
              </w:rPr>
              <w:t>Non-OA Indication Regulatory Approval</w:t>
            </w:r>
          </w:p>
        </w:tc>
        <w:tc>
          <w:tcPr>
            <w:tcW w:w="44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jc w:val="right"/>
              <w:rPr/>
            </w:pPr>
            <w:r>
              <w:rPr/>
              <w:t>5,000,000</w:t>
            </w:r>
          </w:p>
          <w:p>
            <w:pPr>
              <w:pStyle w:val="TableContents"/>
              <w:bidi w:val="0"/>
              <w:spacing w:before="0" w:after="20"/>
              <w:jc w:val="right"/>
              <w:rPr>
                <w:rFonts w:ascii="Times New Roman" w:hAnsi="Times New Roman"/>
                <w:sz w:val="20"/>
              </w:rPr>
            </w:pPr>
            <w:r>
              <w:rPr>
                <w:rFonts w:ascii="Times New Roman" w:hAnsi="Times New Roman"/>
                <w:sz w:val="20"/>
              </w:rPr>
              <w:t>10,000,000</w:t>
            </w:r>
          </w:p>
        </w:tc>
        <w:tc>
          <w:tcPr>
            <w:tcW w:w="62" w:type="dxa"/>
            <w:tcBorders/>
            <w:vAlign w:val="bottom"/>
          </w:tcPr>
          <w:p>
            <w:pPr>
              <w:pStyle w:val="TableContents"/>
              <w:bidi w:val="0"/>
              <w:jc w:val="left"/>
              <w:rPr/>
            </w:pPr>
            <w:r>
              <w:rPr/>
              <w:t> </w:t>
            </w:r>
          </w:p>
          <w:p>
            <w:pPr>
              <w:pStyle w:val="TableContents"/>
              <w:bidi w:val="0"/>
              <w:spacing w:before="0" w:after="20"/>
              <w:jc w:val="left"/>
              <w:rPr/>
            </w:pPr>
            <w:r>
              <w:rPr/>
              <w:t> </w:t>
            </w:r>
          </w:p>
        </w:tc>
      </w:tr>
      <w:tr>
        <w:trPr/>
        <w:tc>
          <w:tcPr>
            <w:tcW w:w="4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calendar year in which aggregate Net Sales by Eupraxia USA,</w:t>
            </w:r>
          </w:p>
          <w:p>
            <w:pPr>
              <w:pStyle w:val="TableContents"/>
              <w:bidi w:val="0"/>
              <w:spacing w:before="0" w:after="20"/>
              <w:jc w:val="left"/>
              <w:rPr>
                <w:rFonts w:ascii="Times New Roman" w:hAnsi="Times New Roman"/>
                <w:sz w:val="20"/>
              </w:rPr>
            </w:pPr>
            <w:r>
              <w:rPr>
                <w:rFonts w:ascii="Times New Roman" w:hAnsi="Times New Roman"/>
                <w:sz w:val="20"/>
              </w:rPr>
              <w:t>its affiliates and sublicenses exceed $500,000,000</w:t>
            </w:r>
          </w:p>
        </w:tc>
        <w:tc>
          <w:tcPr>
            <w:tcW w:w="44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826" w:type="dxa"/>
            <w:tcBorders/>
            <w:shd w:fill="CCEEFF" w:val="clear"/>
            <w:vAlign w:val="bottom"/>
          </w:tcPr>
          <w:p>
            <w:pPr>
              <w:pStyle w:val="TableContents"/>
              <w:bidi w:val="0"/>
              <w:spacing w:before="0" w:after="283"/>
              <w:jc w:val="right"/>
              <w:rPr/>
            </w:pPr>
            <w:r>
              <w:rPr/>
              <w:t>5,000,000</w:t>
            </w:r>
          </w:p>
        </w:tc>
        <w:tc>
          <w:tcPr>
            <w:tcW w:w="62" w:type="dxa"/>
            <w:tcBorders/>
            <w:shd w:fill="CCEEFF" w:val="clear"/>
            <w:vAlign w:val="bottom"/>
          </w:tcPr>
          <w:p>
            <w:pPr>
              <w:pStyle w:val="TableContents"/>
              <w:bidi w:val="0"/>
              <w:spacing w:before="0" w:after="283"/>
              <w:jc w:val="left"/>
              <w:rPr/>
            </w:pPr>
            <w:r>
              <w:rPr/>
              <w:t> </w:t>
            </w:r>
          </w:p>
        </w:tc>
      </w:tr>
      <w:tr>
        <w:trPr/>
        <w:tc>
          <w:tcPr>
            <w:tcW w:w="439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390" w:type="dxa"/>
            <w:tcBorders/>
          </w:tcPr>
          <w:p>
            <w:pPr>
              <w:pStyle w:val="TableContents"/>
              <w:bidi w:val="0"/>
              <w:spacing w:before="0" w:after="0"/>
              <w:jc w:val="left"/>
              <w:rPr>
                <w:rFonts w:ascii="Times New Roman" w:hAnsi="Times New Roman"/>
                <w:b/>
                <w:sz w:val="20"/>
              </w:rPr>
            </w:pPr>
            <w:r>
              <w:rPr>
                <w:rFonts w:ascii="Times New Roman" w:hAnsi="Times New Roman"/>
                <w:b/>
                <w:sz w:val="20"/>
              </w:rPr>
              <w:t>Maximum milestones payable</w:t>
            </w:r>
          </w:p>
        </w:tc>
        <w:tc>
          <w:tcPr>
            <w:tcW w:w="44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826" w:type="dxa"/>
            <w:tcBorders/>
            <w:vAlign w:val="bottom"/>
          </w:tcPr>
          <w:p>
            <w:pPr>
              <w:pStyle w:val="TableContents"/>
              <w:bidi w:val="0"/>
              <w:spacing w:before="0" w:after="283"/>
              <w:jc w:val="right"/>
              <w:rPr>
                <w:b/>
              </w:rPr>
            </w:pPr>
            <w:r>
              <w:rPr>
                <w:b/>
              </w:rPr>
              <w:t>25,000,000</w:t>
            </w:r>
          </w:p>
        </w:tc>
        <w:tc>
          <w:tcPr>
            <w:tcW w:w="62" w:type="dxa"/>
            <w:tcBorders/>
            <w:vAlign w:val="bottom"/>
          </w:tcPr>
          <w:p>
            <w:pPr>
              <w:pStyle w:val="TableContents"/>
              <w:bidi w:val="0"/>
              <w:spacing w:before="0" w:after="283"/>
              <w:jc w:val="left"/>
              <w:rPr/>
            </w:pPr>
            <w:r>
              <w:rPr/>
              <w:t> </w:t>
            </w:r>
          </w:p>
        </w:tc>
      </w:tr>
      <w:tr>
        <w:trPr/>
        <w:tc>
          <w:tcPr>
            <w:tcW w:w="439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82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Eupraxia LLC has also agreed to pay to Auritec 20% of sublicensing royalties or other consideration based on net sales of Licensed Products. Eupraxia LLC has further agreed to pay Auritec a percentage of Non-Royalty Monetization Revenue (as defined in the Amended and Restated License Agreement), which includes payments received for a sale of Eupraxia LLC or its assets or sale or sublicense of a Licensed Product, which percentage ranges from 10% to 30% depending on the development stage of the most-advanced Licensed Product, up to a maximum of $100,000,000. The following table summarizes the Non-Royalty Monetization Revenue percentage schedule: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874"/>
        <w:gridCol w:w="1024"/>
        <w:gridCol w:w="518"/>
        <w:gridCol w:w="2247"/>
        <w:gridCol w:w="276"/>
      </w:tblGrid>
      <w:tr>
        <w:trPr/>
        <w:tc>
          <w:tcPr>
            <w:tcW w:w="2874" w:type="dxa"/>
            <w:tcBorders/>
            <w:vAlign w:val="center"/>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Execution</w:t>
            </w:r>
          </w:p>
        </w:tc>
        <w:tc>
          <w:tcPr>
            <w:tcW w:w="1024" w:type="dxa"/>
            <w:tcBorders/>
            <w:vAlign w:val="bottom"/>
          </w:tcPr>
          <w:p>
            <w:pPr>
              <w:pStyle w:val="TableContents"/>
              <w:bidi w:val="0"/>
              <w:spacing w:before="0" w:after="283"/>
              <w:jc w:val="left"/>
              <w:rPr/>
            </w:pPr>
            <w:r>
              <w:rPr/>
              <w:t>  </w:t>
            </w:r>
          </w:p>
        </w:tc>
        <w:tc>
          <w:tcPr>
            <w:tcW w:w="27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Non-Royalty</w:t>
              <w:br/>
              <w:t>Monetization Revenue</w:t>
            </w:r>
          </w:p>
        </w:tc>
        <w:tc>
          <w:tcPr>
            <w:tcW w:w="276" w:type="dxa"/>
            <w:tcBorders/>
            <w:vAlign w:val="bottom"/>
          </w:tcPr>
          <w:p>
            <w:pPr>
              <w:pStyle w:val="TableContents"/>
              <w:bidi w:val="0"/>
              <w:spacing w:before="0" w:after="283"/>
              <w:jc w:val="left"/>
              <w:rPr/>
            </w:pPr>
            <w:r>
              <w:rPr/>
              <w:t> </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Prior to Successful Completion of a Phase 2b Study</w:t>
            </w:r>
          </w:p>
        </w:tc>
        <w:tc>
          <w:tcPr>
            <w:tcW w:w="102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47" w:type="dxa"/>
            <w:tcBorders/>
            <w:shd w:fill="CCEEFF" w:val="clear"/>
            <w:vAlign w:val="bottom"/>
          </w:tcPr>
          <w:p>
            <w:pPr>
              <w:pStyle w:val="TableContents"/>
              <w:bidi w:val="0"/>
              <w:spacing w:before="0" w:after="283"/>
              <w:jc w:val="right"/>
              <w:rPr/>
            </w:pPr>
            <w:r>
              <w:rPr/>
              <w:t>30</w:t>
            </w:r>
          </w:p>
        </w:tc>
        <w:tc>
          <w:tcPr>
            <w:tcW w:w="276" w:type="dxa"/>
            <w:tcBorders/>
            <w:shd w:fill="CCEEFF" w:val="clear"/>
            <w:vAlign w:val="bottom"/>
          </w:tcPr>
          <w:p>
            <w:pPr>
              <w:pStyle w:val="TableContents"/>
              <w:bidi w:val="0"/>
              <w:spacing w:before="0" w:after="283"/>
              <w:jc w:val="left"/>
              <w:rPr/>
            </w:pPr>
            <w:r>
              <w:rPr/>
              <w:t>% </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After Successful Completion of a Phase 2b Study but prior to Successful Completion of a Phase 3 Study</w:t>
            </w:r>
          </w:p>
        </w:tc>
        <w:tc>
          <w:tcPr>
            <w:tcW w:w="1024"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After Successful Completion of a Phase 3 Study but prior to Regulatory Approval of a Product in the Eupraxia Field from FDA in the United States</w:t>
            </w:r>
          </w:p>
        </w:tc>
        <w:tc>
          <w:tcPr>
            <w:tcW w:w="1024"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247" w:type="dxa"/>
            <w:tcBorders/>
            <w:shd w:fill="CCEEFF" w:val="clear"/>
            <w:vAlign w:val="bottom"/>
          </w:tcPr>
          <w:p>
            <w:pPr>
              <w:pStyle w:val="TableContents"/>
              <w:bidi w:val="0"/>
              <w:spacing w:before="0" w:after="283"/>
              <w:jc w:val="right"/>
              <w:rPr/>
            </w:pPr>
            <w:r>
              <w:rPr/>
              <w:t>15</w:t>
            </w:r>
          </w:p>
        </w:tc>
        <w:tc>
          <w:tcPr>
            <w:tcW w:w="276" w:type="dxa"/>
            <w:tcBorders/>
            <w:shd w:fill="CCEEFF" w:val="clear"/>
            <w:vAlign w:val="bottom"/>
          </w:tcPr>
          <w:p>
            <w:pPr>
              <w:pStyle w:val="TableContents"/>
              <w:bidi w:val="0"/>
              <w:spacing w:before="0" w:after="283"/>
              <w:jc w:val="left"/>
              <w:rPr/>
            </w:pPr>
            <w:r>
              <w:rPr/>
              <w:t>% </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After Regulatory Approval of a Product in the Eupraxia Field from FDA in the United States</w:t>
            </w:r>
          </w:p>
        </w:tc>
        <w:tc>
          <w:tcPr>
            <w:tcW w:w="1024"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247" w:type="dxa"/>
            <w:tcBorders/>
            <w:vAlign w:val="bottom"/>
          </w:tcPr>
          <w:p>
            <w:pPr>
              <w:pStyle w:val="TableContents"/>
              <w:bidi w:val="0"/>
              <w:spacing w:before="0" w:after="283"/>
              <w:jc w:val="right"/>
              <w:rPr/>
            </w:pPr>
            <w:r>
              <w:rPr/>
              <w:t>10</w:t>
            </w:r>
          </w:p>
        </w:tc>
        <w:tc>
          <w:tcPr>
            <w:tcW w:w="27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Either party may terminate the Amended and Restated License Agreement in the event of the other party’s bankruptcy, liquidation, or dissolution. Auritec may also terminate upon a material breach of the Amended and Restated License Agreement by Eupraxia LLC that is not cured within 60 days (15 days in the case of a payment breach). Further, if Eupraxia LLC directly or indirectly challenges any claim in any Auritec patent licensed under the Amended and Restated License Agreement, or assist a third party in doing so, Auritec may immediately terminate the Amended and Restated License Agreement. If Auritec directly or indirectly challenges any Eupraxia patent contemplated in the Amended and Restated License Agreement other than as reasonably required to defend Auritec patents as a basis for such challenge, or assists a third party in doing so, we may immediately terminate the Amended and Restated License Agreement.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Lease Agreements </w:t>
      </w:r>
    </w:p>
    <w:p>
      <w:pPr>
        <w:pStyle w:val="TextBody"/>
        <w:bidi w:val="0"/>
        <w:spacing w:before="120" w:after="0"/>
        <w:jc w:val="left"/>
        <w:rPr>
          <w:rFonts w:ascii="Times New Roman" w:hAnsi="Times New Roman"/>
          <w:sz w:val="20"/>
        </w:rPr>
      </w:pPr>
      <w:r>
        <w:rPr>
          <w:rFonts w:ascii="Times New Roman" w:hAnsi="Times New Roman"/>
          <w:sz w:val="20"/>
        </w:rPr>
        <w:t>On October 21, 2019, the Company entered into a 5-year lease agreement for its head office located at Suite 201 – 2067 Cadboro Bay Road, Victoria BC, with an expiry date of November 30, 2024. It was subsequently renewed May 13, 2024 for an additional year. On July 15, 2025, the Company signed a Second Lease Renewal Agreement (“</w:t>
      </w:r>
      <w:r>
        <w:rPr>
          <w:rFonts w:ascii="Times New Roman" w:hAnsi="Times New Roman"/>
          <w:b/>
          <w:sz w:val="20"/>
        </w:rPr>
        <w:t>Renewal Agreement</w:t>
      </w:r>
      <w:r>
        <w:rPr>
          <w:rFonts w:ascii="Times New Roman" w:hAnsi="Times New Roman"/>
          <w:sz w:val="20"/>
        </w:rPr>
        <w:t xml:space="preserve">”) whereby the Company renewed its lease for its Victoria, BC facility for an additional twelve months commencing December 1, 2025 and ending November 30, 2026. All other terms of the lease remain unchanged. The total rent for the remainder of the lease extension to November 30, 2026 (inclusive of base rent and additional rent costs) is anticipated to be $102,527 (CDN$142,912). Additional rent is subject to adjustment at the end of each lease year based on actual costs incurred. On April 10, 2026, the Company formally notified the landlord that it would not be renewing the lease for this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March 31, 2025, the Company entered into a short-term lease agreement for its research and development laboratory located in Vancouver, BC. The lease was for a period of eleven months, expiring on February 28, 2026. The Company subsequently entered into a lease agreement on February 2, 2026 for a 5-year term beginning March 1, 2026 and expiring February 28, 2031. The rental area includes approximately 3,199 square feet of office space and approximately 6,684 square feet of laboratory space. The total rent (including both basic rent and additional rent) for the remaining lease term is anticipated to be $1,631,207 (CDN$2,273,740) and does not reflect the impact of the additional 60-month extension option. Additional rent is subject to adjustment at the end of each lease year based on actual costs incurred. As of April 15, 2026, the head office of the Company has been relocated to the office in Vancouver.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transactions with related parties during the three months ended March 31, 2026 and 2025, reportable under U.S. GAAP.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material undisclosed off-balance sheet arrangements that have or are reasonably likely to have, a current or future effect on our results of operations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and Judgments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U.S. GAAP requires management to make estimates, judgments and assumptions that affect the reported amounts of assets and liabilities at the date of the consolidated financial statements and reported amounts of expenses during the reporting year, which, by their nature, are uncertain. Actual outcomes could differ from these estimates. The impacts of such estimates are pervasive throughout the consolidated financial statements, and may require accounting adjustments based on future events. Revisions to accounting estimates are recognized in the year in which the estimate is revised and future periods if the revision affects both current and future years. These estimates are based on historical experience, current and future economic conditions and other factors, including expectations of future events that are believed to be reasonable under the circumstances that affect the reported amounts of assets, liabilities, income and expenses.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Significant assumptions about the future and other sources of estimation uncertainty that management has made at the end of the reporting period, that could result in a material adjustment to the carrying amounts of assets and liabilities in the event that actual results differ from assumptions made, relate to,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options granted are measured at fair value, using the Black-Scholes option pricing model, at the grant date and expensed over the vesting period. In determining the fair value, the Company makes estimates of the expected volatility of the shares, the expected life of the share-based instrument, and an estimated risk-free interest rate.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Critical accounting judgments </w:t>
      </w:r>
    </w:p>
    <w:p>
      <w:pPr>
        <w:pStyle w:val="TextBody"/>
        <w:bidi w:val="0"/>
        <w:spacing w:before="120" w:after="0"/>
        <w:jc w:val="left"/>
        <w:rPr>
          <w:rFonts w:ascii="Times New Roman" w:hAnsi="Times New Roman"/>
          <w:sz w:val="20"/>
        </w:rPr>
      </w:pPr>
      <w:r>
        <w:rPr>
          <w:rFonts w:ascii="Times New Roman" w:hAnsi="Times New Roman"/>
          <w:sz w:val="20"/>
        </w:rPr>
        <w:t xml:space="preserve">Critical accounting judgments are accounting policies that have been identified as being complex or involving subjective judgments or assessments. The Company’s management made the following critical accounting judgments: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of the functional currency of the Company and its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Assessment of the appropriateness of the going concern assertion.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This standard requires public business entities to disclose, in the footnotes, a tabular disaggregation of certain expense captions into specific natural categories. . The standard is effective for the Company’s annual reporting periods beginning after December 15, 2026 (fiscal year 2027). The Company does not intend to early adopt this guidance and is currently evaluating the impact that the adoption will have on its financial statement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financial instruments consist of cash and cash equivalents, short-term investments, amounts receivable, accounts payable and accrued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changes to the Company’s risk exposures or management of risks during the three months ended March 31, 2026. The Company’s risk exposures and the impact on the Company’s financial instruments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is the risk that one party to a financial instrument will cause a financial loss for the other party by failing to discharge an obligation. The Company believes it has no significant credit risk, as its cash and cash equivalents and short-term investments, being its primary exposure to credit risk, are held with a large Canadian bank. The Company’s maximum exposure to credit risk is the carrying value of these financial assets. </w:t>
      </w:r>
    </w:p>
    <w:p>
      <w:pPr>
        <w:pStyle w:val="TextBody"/>
        <w:bidi w:val="0"/>
        <w:spacing w:before="360" w:after="0"/>
        <w:jc w:val="left"/>
        <w:rPr>
          <w:rFonts w:ascii="Times New Roman" w:hAnsi="Times New Roman"/>
          <w:i/>
          <w:sz w:val="20"/>
        </w:rPr>
      </w:pPr>
      <w:r>
        <w:rPr>
          <w:rFonts w:ascii="Times New Roman" w:hAnsi="Times New Roman"/>
          <w:i/>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an entity will encounter difficulty in meeting obligations associated with financial liabilities that are settled by delivering cash or another financial asset. The Company’s approach to managing liquidity risk is to ensure that it will have sufficient liquidity to the extent possible to meet liabilities when due. As at March 31, 2026, the Company had cash and cash equivalents of $58,500,024 (2025 - $80,563,482) in addition to current liabilities of $7,362,389 (2025 - $5,628,005). Management continuously considers certain strategic alternatives including, but not limited to, raising additional capital. These decisions are always made in consideration of the needs of the business, and in conjunction with the potential impact on shareholder dilution.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however, that any or all of these alternatives will materialize or that additional funding will be available, if and when needed. </w:t>
      </w:r>
    </w:p>
    <w:p>
      <w:pPr>
        <w:pStyle w:val="TextBody"/>
        <w:bidi w:val="0"/>
        <w:spacing w:before="0" w:after="0"/>
        <w:jc w:val="left"/>
        <w:rPr/>
      </w:pPr>
      <w:r>
        <w:rPr/>
        <w:t> </w:t>
      </w:r>
    </w:p>
    <w:tbl>
      <w:tblPr>
        <w:tblW w:w="8590" w:type="dxa"/>
        <w:jc w:val="center"/>
        <w:tblInd w:w="0" w:type="dxa"/>
        <w:tblLayout w:type="fixed"/>
        <w:tblCellMar>
          <w:top w:w="0" w:type="dxa"/>
          <w:left w:w="0" w:type="dxa"/>
          <w:bottom w:w="0" w:type="dxa"/>
          <w:right w:w="0" w:type="dxa"/>
        </w:tblCellMar>
      </w:tblPr>
      <w:tblGrid>
        <w:gridCol w:w="3185"/>
        <w:gridCol w:w="120"/>
        <w:gridCol w:w="140"/>
        <w:gridCol w:w="980"/>
        <w:gridCol w:w="60"/>
        <w:gridCol w:w="120"/>
        <w:gridCol w:w="210"/>
        <w:gridCol w:w="1475"/>
        <w:gridCol w:w="60"/>
        <w:gridCol w:w="120"/>
        <w:gridCol w:w="140"/>
        <w:gridCol w:w="800"/>
        <w:gridCol w:w="60"/>
        <w:gridCol w:w="120"/>
        <w:gridCol w:w="140"/>
        <w:gridCol w:w="800"/>
        <w:gridCol w:w="60"/>
      </w:tblGrid>
      <w:tr>
        <w:trPr/>
        <w:tc>
          <w:tcPr>
            <w:tcW w:w="3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Contractual Obligations at March 31, 2026</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 1 year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1-3 years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4-5 years</w:t>
            </w:r>
          </w:p>
        </w:tc>
        <w:tc>
          <w:tcPr>
            <w:tcW w:w="60" w:type="dxa"/>
            <w:tcBorders/>
            <w:vAlign w:val="bottom"/>
          </w:tcPr>
          <w:p>
            <w:pPr>
              <w:pStyle w:val="TableContents"/>
              <w:bidi w:val="0"/>
              <w:spacing w:before="0" w:after="283"/>
              <w:jc w:val="left"/>
              <w:rPr/>
            </w:pPr>
            <w:r>
              <w:rPr/>
              <w:t> </w:t>
            </w:r>
          </w:p>
        </w:tc>
      </w:tr>
      <w:tr>
        <w:trPr/>
        <w:tc>
          <w:tcPr>
            <w:tcW w:w="31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7,158,879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7,158,879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85" w:type="dxa"/>
            <w:tcBorders/>
          </w:tcPr>
          <w:p>
            <w:pPr>
              <w:pStyle w:val="TableContents"/>
              <w:bidi w:val="0"/>
              <w:spacing w:before="0" w:after="0"/>
              <w:jc w:val="left"/>
              <w:rPr>
                <w:rFonts w:ascii="Times New Roman" w:hAnsi="Times New Roman"/>
                <w:sz w:val="20"/>
              </w:rPr>
            </w:pPr>
            <w:r>
              <w:rPr>
                <w:rFonts w:ascii="Times New Roman" w:hAnsi="Times New Roman"/>
                <w:sz w:val="20"/>
              </w:rPr>
              <w:t>Leases(1)</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1,733,734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right"/>
              <w:rPr/>
            </w:pPr>
            <w:r>
              <w:rPr/>
              <w:t>425,145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995,824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312,765</w:t>
            </w:r>
          </w:p>
        </w:tc>
        <w:tc>
          <w:tcPr>
            <w:tcW w:w="60" w:type="dxa"/>
            <w:tcBorders/>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4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31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Contractual Obligations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8,892,613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1475" w:type="dxa"/>
            <w:tcBorders/>
            <w:shd w:fill="CCEEFF" w:val="clear"/>
            <w:vAlign w:val="bottom"/>
          </w:tcPr>
          <w:p>
            <w:pPr>
              <w:pStyle w:val="TableContents"/>
              <w:bidi w:val="0"/>
              <w:spacing w:before="0" w:after="283"/>
              <w:jc w:val="right"/>
              <w:rPr>
                <w:b/>
              </w:rPr>
            </w:pPr>
            <w:r>
              <w:rPr>
                <w:b/>
              </w:rPr>
              <w:t>7,584,024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995,824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312,765</w:t>
            </w:r>
          </w:p>
        </w:tc>
        <w:tc>
          <w:tcPr>
            <w:tcW w:w="60"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4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both basic lease payments as well as payments for property taxes and common area maintenance for the remaining lease term for the Victoria office which goes until November 30, 2026 and the Vancouver office and lab which goes until February 28, 2031and does not include any payments related to the renewal options of each lease.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is the risk that the fair value or future cash flows of a financial instrument will fluctuate because of changes in market prices. Market risk comprises three types of risk: interest rate risk, currency risk and other price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Interest rate risk is the risk that the fair value or future cash flows of a financial instrument will fluctuate because of changes in market interest rates. As of March 31, 2026, the Company had cash and cash equivalents of $58,500,024 and short-term investments of $80,378,789 which are held in term deposits, and bank accounts. Interest rate risk is affected by changes in the general level of interest rates, particularly because the majority of the Company’s investments are short-term in nature. Due to the short-term duration the cash and cash equivalent holdings and short-term investments, a 10% change in interest rates would not have a material effect on the fair market value of cash, cash equivalents and short-term investments. Since the Company also has the ability to hold the cash equivalents and short-term investments until maturity, and therefore it would not expect the Company’s operating results or cash flows to be affected to any significant degree by the effect of a sudden change in market interest rates </w:t>
      </w:r>
    </w:p>
    <w:p>
      <w:pPr>
        <w:pStyle w:val="TextBody"/>
        <w:bidi w:val="0"/>
        <w:spacing w:before="360" w:after="0"/>
        <w:jc w:val="left"/>
        <w:rPr>
          <w:rFonts w:ascii="Times New Roman" w:hAnsi="Times New Roman"/>
          <w:i/>
          <w:sz w:val="20"/>
        </w:rPr>
      </w:pPr>
      <w:r>
        <w:rPr>
          <w:rFonts w:ascii="Times New Roman" w:hAnsi="Times New Roman"/>
          <w:i/>
          <w:sz w:val="20"/>
        </w:rPr>
        <w:t xml:space="preserve">Currency risk </w:t>
      </w:r>
    </w:p>
    <w:p>
      <w:pPr>
        <w:pStyle w:val="TextBody"/>
        <w:bidi w:val="0"/>
        <w:spacing w:before="120" w:after="0"/>
        <w:jc w:val="left"/>
        <w:rPr>
          <w:rFonts w:ascii="Times New Roman" w:hAnsi="Times New Roman"/>
          <w:sz w:val="20"/>
        </w:rPr>
      </w:pPr>
      <w:r>
        <w:rPr>
          <w:rFonts w:ascii="Times New Roman" w:hAnsi="Times New Roman"/>
          <w:sz w:val="20"/>
        </w:rPr>
        <w:t xml:space="preserve">Currency risk is the risk that the fair value or future cash flows of a financial instrument will fluctuate because of changes in foreign exchange rates. The Company is exposed to currency risk due to its frequency of transactions in US dollars and Australian dollars. The Company does not use derivatives to hedge against this risk, however, it does purchase US dollars to cover anticipated costs that will be denominated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At March 31, 2026, the Company held cash and cash equivalents of $47,403,396 (2025 – $77,988,544), held short-term investments of $80,378,789 (2025 – $nil) and had accounts payable and accrued liabilities of $4,440,839 (2025 – $942,201) denominated in US dollars which were translated to Canadian dollars at 1.3939 (2025 – 1.3706). The impact of a 10% change in the exchange rates would have an impact of approximately $12,334,135 (2025 – $7,704,614) on profit or loss. The Company held cash of $613,974 (2025 – $1,449,522), accounts payable and accrued liabilities of $820,421 (2025 – $779,455) and had $773,042 in amounts receivable (2025 – $716,095) denominated in Australian Dollars which were translated into Canadian Dollars at 0.9558 (2025 – 0.9147). The impact of a 10% change in the exchange rate would have an impact of approximately $38,851.51 (2025 – $92,509) on profit or loss. The Company also has cash in accounts payable in Euros. The impact of a 10% change in the exchanges of the Euro would have an immaterial effect on future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Other price risk </w:t>
      </w:r>
    </w:p>
    <w:p>
      <w:pPr>
        <w:pStyle w:val="TextBody"/>
        <w:bidi w:val="0"/>
        <w:spacing w:before="120" w:after="0"/>
        <w:jc w:val="left"/>
        <w:rPr>
          <w:rFonts w:ascii="Times New Roman" w:hAnsi="Times New Roman"/>
          <w:sz w:val="20"/>
        </w:rPr>
      </w:pPr>
      <w:r>
        <w:rPr>
          <w:rFonts w:ascii="Times New Roman" w:hAnsi="Times New Roman"/>
          <w:sz w:val="20"/>
        </w:rPr>
        <w:t xml:space="preserve">Other price risk is the risk that the fair value or future cash flows of a financial instrument will fluctuate because of changes in market prices (other than those arising from interest rate risk and foreign currency risk), whether those changes are caused by factors specific to the individual financial instrument or its issuer or by factors affecting all similar financial instruments traded in the market. The Company is not exposed to significant price risk with respect to commodity or equity prices.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categorizes its financial instruments measured at fair value into one of three different levels depending on the observation of inputs used in the measurement. </w:t>
      </w:r>
    </w:p>
    <w:p>
      <w:pPr>
        <w:pStyle w:val="TextBody"/>
        <w:bidi w:val="0"/>
        <w:spacing w:before="120" w:after="0"/>
        <w:jc w:val="left"/>
        <w:rPr>
          <w:rFonts w:ascii="Times New Roman" w:hAnsi="Times New Roman"/>
          <w:sz w:val="20"/>
        </w:rPr>
      </w:pPr>
      <w:r>
        <w:rPr>
          <w:rFonts w:ascii="Times New Roman" w:hAnsi="Times New Roman"/>
          <w:sz w:val="20"/>
        </w:rPr>
        <w:t xml:space="preserve">Level 1: Fair value is based on unadjusted quoted prices for identical assets or liabilities in active markets. </w:t>
      </w:r>
    </w:p>
    <w:p>
      <w:pPr>
        <w:pStyle w:val="TextBody"/>
        <w:bidi w:val="0"/>
        <w:spacing w:before="120" w:after="0"/>
        <w:jc w:val="left"/>
        <w:rPr>
          <w:rFonts w:ascii="Times New Roman" w:hAnsi="Times New Roman"/>
          <w:sz w:val="20"/>
        </w:rPr>
      </w:pPr>
      <w:r>
        <w:rPr>
          <w:rFonts w:ascii="Times New Roman" w:hAnsi="Times New Roman"/>
          <w:sz w:val="20"/>
        </w:rPr>
        <w:t xml:space="preserve">Level 2: Fair value is based on inputs other than quoted prices included within Level 1 that are observable for the asset or liability, either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Level 3: Fair value is based on valuation techniques that require one or more significant unobservable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financial instruments consist of cash and cash equivalents, short-term investments, amounts receivable, accounts payable and accrued liabilities. The carrying value of the Company’s financial instruments approximate their fair values due to their short-term maturities.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information regarding the classification and carrying values of the Company’s financial instruments measured at amortized cost: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35"/>
        <w:gridCol w:w="216"/>
        <w:gridCol w:w="145"/>
        <w:gridCol w:w="1151"/>
        <w:gridCol w:w="60"/>
        <w:gridCol w:w="216"/>
        <w:gridCol w:w="159"/>
        <w:gridCol w:w="1308"/>
        <w:gridCol w:w="65"/>
      </w:tblGrid>
      <w:tr>
        <w:trPr/>
        <w:tc>
          <w:tcPr>
            <w:tcW w:w="443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assets/liabilities</w:t>
            </w:r>
          </w:p>
        </w:tc>
        <w:tc>
          <w:tcPr>
            <w:tcW w:w="21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5"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58,500,024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80,563,482</w:t>
            </w:r>
          </w:p>
        </w:tc>
        <w:tc>
          <w:tcPr>
            <w:tcW w:w="65"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80,378,789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receivable</w:t>
            </w:r>
          </w:p>
        </w:tc>
        <w:tc>
          <w:tcPr>
            <w:tcW w:w="2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663,235</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674,226</w:t>
            </w:r>
          </w:p>
        </w:tc>
        <w:tc>
          <w:tcPr>
            <w:tcW w:w="65" w:type="dxa"/>
            <w:tcBorders/>
            <w:shd w:fill="CCEEFF" w:val="clear"/>
            <w:vAlign w:val="bottom"/>
          </w:tcPr>
          <w:p>
            <w:pPr>
              <w:pStyle w:val="TableContents"/>
              <w:bidi w:val="0"/>
              <w:spacing w:before="0" w:after="283"/>
              <w:jc w:val="left"/>
              <w:rPr/>
            </w:pPr>
            <w:r>
              <w:rPr/>
              <w:t> </w:t>
            </w:r>
          </w:p>
        </w:tc>
      </w:tr>
      <w:tr>
        <w:trPr/>
        <w:tc>
          <w:tcPr>
            <w:tcW w:w="443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7,158,879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5,549,553</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The primary risk factors affecting the Company are set forth under the heading “</w:t>
      </w:r>
      <w:r>
        <w:rPr>
          <w:rFonts w:ascii="Times New Roman" w:hAnsi="Times New Roman"/>
          <w:i/>
          <w:sz w:val="20"/>
        </w:rPr>
        <w:t>Risk Factors</w:t>
      </w:r>
      <w:r>
        <w:rPr>
          <w:rFonts w:ascii="Times New Roman" w:hAnsi="Times New Roman"/>
          <w:sz w:val="20"/>
        </w:rPr>
        <w:t xml:space="preserve">” in the AIF.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Share Capital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MD&amp;A, the Company had 65,326,947 Common Shares issued and 8,355,638 Preferred Shares outstanding. The maximum number of additional Common Shares issuable, should all convertible rights be exercised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12"/>
        <w:gridCol w:w="521"/>
        <w:gridCol w:w="120"/>
        <w:gridCol w:w="2223"/>
        <w:gridCol w:w="63"/>
      </w:tblGrid>
      <w:tr>
        <w:trPr/>
        <w:tc>
          <w:tcPr>
            <w:tcW w:w="4012"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Common Shares Issuable:</w:t>
            </w:r>
          </w:p>
        </w:tc>
        <w:tc>
          <w:tcPr>
            <w:tcW w:w="521" w:type="dxa"/>
            <w:tcBorders/>
            <w:vAlign w:val="bottom"/>
          </w:tcPr>
          <w:p>
            <w:pPr>
              <w:pStyle w:val="TableContents"/>
              <w:bidi w:val="0"/>
              <w:spacing w:before="0" w:after="283"/>
              <w:jc w:val="left"/>
              <w:rPr/>
            </w:pPr>
            <w:r>
              <w:rPr/>
              <w:t>  </w:t>
            </w:r>
          </w:p>
        </w:tc>
        <w:tc>
          <w:tcPr>
            <w:tcW w:w="2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the date of MD&amp;A</w:t>
            </w:r>
          </w:p>
        </w:tc>
        <w:tc>
          <w:tcPr>
            <w:tcW w:w="63" w:type="dxa"/>
            <w:tcBorders/>
            <w:vAlign w:val="bottom"/>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(1)</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7,403,505</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Share Units (2)</w:t>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3" w:type="dxa"/>
            <w:tcBorders/>
            <w:vAlign w:val="bottom"/>
          </w:tcPr>
          <w:p>
            <w:pPr>
              <w:pStyle w:val="TableContents"/>
              <w:bidi w:val="0"/>
              <w:spacing w:before="0" w:after="283"/>
              <w:jc w:val="right"/>
              <w:rPr/>
            </w:pPr>
            <w:r>
              <w:rPr/>
              <w:t>1,245,013</w:t>
            </w:r>
          </w:p>
        </w:tc>
        <w:tc>
          <w:tcPr>
            <w:tcW w:w="63" w:type="dxa"/>
            <w:tcBorders/>
            <w:vAlign w:val="bottom"/>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2013 Warrants (3)</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93,421</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tcPr>
          <w:p>
            <w:pPr>
              <w:pStyle w:val="TableContents"/>
              <w:bidi w:val="0"/>
              <w:spacing w:before="0" w:after="0"/>
              <w:jc w:val="left"/>
              <w:rPr>
                <w:rFonts w:ascii="Times New Roman" w:hAnsi="Times New Roman"/>
                <w:sz w:val="20"/>
              </w:rPr>
            </w:pPr>
            <w:r>
              <w:rPr>
                <w:rFonts w:ascii="Times New Roman" w:hAnsi="Times New Roman"/>
                <w:sz w:val="20"/>
              </w:rPr>
              <w:t>Founders Warrants (4)</w:t>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3" w:type="dxa"/>
            <w:tcBorders/>
            <w:vAlign w:val="bottom"/>
          </w:tcPr>
          <w:p>
            <w:pPr>
              <w:pStyle w:val="TableContents"/>
              <w:bidi w:val="0"/>
              <w:spacing w:before="0" w:after="283"/>
              <w:jc w:val="right"/>
              <w:rPr/>
            </w:pPr>
            <w:r>
              <w:rPr/>
              <w:t>215,000</w:t>
            </w:r>
          </w:p>
        </w:tc>
        <w:tc>
          <w:tcPr>
            <w:tcW w:w="63" w:type="dxa"/>
            <w:tcBorders/>
            <w:vAlign w:val="bottom"/>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Underlying Founders Warrants (5)</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215,000</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tcPr>
          <w:p>
            <w:pPr>
              <w:pStyle w:val="TableContents"/>
              <w:bidi w:val="0"/>
              <w:spacing w:before="0" w:after="0"/>
              <w:jc w:val="left"/>
              <w:rPr>
                <w:rFonts w:ascii="Times New Roman" w:hAnsi="Times New Roman"/>
                <w:sz w:val="20"/>
              </w:rPr>
            </w:pPr>
            <w:r>
              <w:rPr>
                <w:rFonts w:ascii="Times New Roman" w:hAnsi="Times New Roman"/>
                <w:sz w:val="20"/>
              </w:rPr>
              <w:t>Class B Shares (6)</w:t>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3" w:type="dxa"/>
            <w:tcBorders/>
            <w:vAlign w:val="bottom"/>
          </w:tcPr>
          <w:p>
            <w:pPr>
              <w:pStyle w:val="TableContents"/>
              <w:bidi w:val="0"/>
              <w:spacing w:before="0" w:after="283"/>
              <w:jc w:val="right"/>
              <w:rPr/>
            </w:pPr>
            <w:r>
              <w:rPr/>
              <w:t>562,500</w:t>
            </w:r>
          </w:p>
        </w:tc>
        <w:tc>
          <w:tcPr>
            <w:tcW w:w="63" w:type="dxa"/>
            <w:tcBorders/>
            <w:vAlign w:val="bottom"/>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Warrants (7)</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pPr>
            <w:r>
              <w:rPr/>
              <w:t>1,428,571</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Shares (8)</w:t>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23" w:type="dxa"/>
            <w:tcBorders/>
            <w:vAlign w:val="bottom"/>
          </w:tcPr>
          <w:p>
            <w:pPr>
              <w:pStyle w:val="TableContents"/>
              <w:bidi w:val="0"/>
              <w:spacing w:before="0" w:after="283"/>
              <w:jc w:val="right"/>
              <w:rPr/>
            </w:pPr>
            <w:r>
              <w:rPr/>
              <w:t>8,355,638</w:t>
            </w:r>
          </w:p>
        </w:tc>
        <w:tc>
          <w:tcPr>
            <w:tcW w:w="63" w:type="dxa"/>
            <w:tcBorders/>
            <w:vAlign w:val="bottom"/>
          </w:tcPr>
          <w:p>
            <w:pPr>
              <w:pStyle w:val="TableContents"/>
              <w:bidi w:val="0"/>
              <w:spacing w:before="0" w:after="283"/>
              <w:jc w:val="left"/>
              <w:rPr/>
            </w:pPr>
            <w:r>
              <w:rPr/>
              <w:t> </w:t>
            </w:r>
          </w:p>
        </w:tc>
      </w:tr>
      <w:tr>
        <w:trPr/>
        <w:tc>
          <w:tcPr>
            <w:tcW w:w="4012"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single" w:sz="2" w:space="1" w:color="000000"/>
              </w:pBdr>
              <w:bidi w:val="0"/>
              <w:spacing w:before="0" w:after="0"/>
              <w:jc w:val="left"/>
              <w:rPr/>
            </w:pPr>
            <w:r>
              <w:rPr/>
              <w:t> </w:t>
            </w:r>
          </w:p>
        </w:tc>
        <w:tc>
          <w:tcPr>
            <w:tcW w:w="22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Common Shares Issuable</w:t>
            </w:r>
          </w:p>
        </w:tc>
        <w:tc>
          <w:tcPr>
            <w:tcW w:w="521"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23" w:type="dxa"/>
            <w:tcBorders/>
            <w:shd w:fill="CCEEFF" w:val="clear"/>
            <w:vAlign w:val="bottom"/>
          </w:tcPr>
          <w:p>
            <w:pPr>
              <w:pStyle w:val="TableContents"/>
              <w:bidi w:val="0"/>
              <w:spacing w:before="0" w:after="283"/>
              <w:jc w:val="right"/>
              <w:rPr>
                <w:b/>
              </w:rPr>
            </w:pPr>
            <w:r>
              <w:rPr>
                <w:b/>
              </w:rPr>
              <w:t>19,518,648</w:t>
            </w:r>
          </w:p>
        </w:tc>
        <w:tc>
          <w:tcPr>
            <w:tcW w:w="63" w:type="dxa"/>
            <w:tcBorders/>
            <w:shd w:fill="CCEEFF" w:val="clear"/>
            <w:vAlign w:val="bottom"/>
          </w:tcPr>
          <w:p>
            <w:pPr>
              <w:pStyle w:val="TableContents"/>
              <w:bidi w:val="0"/>
              <w:spacing w:before="0" w:after="283"/>
              <w:jc w:val="left"/>
              <w:rPr/>
            </w:pPr>
            <w:r>
              <w:rPr/>
              <w:t> </w:t>
            </w:r>
          </w:p>
        </w:tc>
      </w:tr>
      <w:tr>
        <w:trPr/>
        <w:tc>
          <w:tcPr>
            <w:tcW w:w="4012"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20" w:type="dxa"/>
            <w:tcBorders/>
            <w:vAlign w:val="bottom"/>
          </w:tcPr>
          <w:p>
            <w:pPr>
              <w:pStyle w:val="TableContents"/>
              <w:pBdr>
                <w:top w:val="double" w:sz="6" w:space="1" w:color="000000"/>
              </w:pBdr>
              <w:bidi w:val="0"/>
              <w:spacing w:before="0" w:after="0"/>
              <w:jc w:val="left"/>
              <w:rPr/>
            </w:pPr>
            <w:r>
              <w:rPr/>
              <w:t> </w:t>
            </w:r>
          </w:p>
        </w:tc>
        <w:tc>
          <w:tcPr>
            <w:tcW w:w="22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Represents 5,438,605 options outstanding under the Company’s stock option plan, each having an exercise price between CDN$1.90 and CDN$8.00 and expiry dates ranging from March 5, 2028 to May 13, 2035 in addition to 1,964,900 options outstanding under the Company’s Omnibus Incentive Plan (“</w:t>
            </w:r>
            <w:r>
              <w:rPr>
                <w:rFonts w:ascii="Times New Roman" w:hAnsi="Times New Roman"/>
                <w:b/>
                <w:sz w:val="20"/>
              </w:rPr>
              <w:t>OIP</w:t>
            </w:r>
            <w:r>
              <w:rPr>
                <w:rFonts w:ascii="Times New Roman" w:hAnsi="Times New Roman"/>
                <w:sz w:val="20"/>
              </w:rPr>
              <w:t xml:space="preserve">”), each having an exercise price between CDN$8.63 and CDN$9.44 and expiry dates ranging from December 15, 2035 to March 27, 2036.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1,245,013 Restricted Share Units outstanding under the Company’s OIP.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 purchase warrants to acquire up to 93,421 Common Shares at an exercise price of CDN$0.7572 per share, with each such common share purchase warrant expiring 120 days after the warrant holder or the holder’s spouse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Represents common share purchase warrants to acquire 215,000 units, with each unit consisting of one Common Share and one underlying common share purchase warrant (an “</w:t>
            </w:r>
            <w:r>
              <w:rPr>
                <w:rFonts w:ascii="Times New Roman" w:hAnsi="Times New Roman"/>
                <w:b/>
                <w:sz w:val="20"/>
              </w:rPr>
              <w:t>Underlying Founder Warrant</w:t>
            </w:r>
            <w:r>
              <w:rPr>
                <w:rFonts w:ascii="Times New Roman" w:hAnsi="Times New Roman"/>
                <w:sz w:val="20"/>
              </w:rPr>
              <w:t xml:space="preserve">”) at an exercise price of CDN$0.4984 per unit, expiring 120 days after the warrant holder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Underlying Founder Warrants to acquire up to 215,000 Common Shares, at an exercise price of CDN$0.75 per share, expiring two years from the date of exercise of the Underlying Founder Warrant.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562,500 Common Shares that are issuable upon conversion of the 225 Class B Shares of Eupraxia Pharma Inc., the Company’s subsidiary, held by Amanda Malone, the Chief Scientific Officer of the Company. Each Class B Share is exchangeable into Common Shares based on an exchange rate of 2,500 Common Shares for each Class B Share, subject to adjustments upon the occurrence of certain events, for a total of 562,500 Common Shares. The Class B Shares are exchangeable by Ms. Malone at her election, provided that the Company may force the exchange of the Class B Shares into Common Shares at any time on or after January 31, 2031, or on or after January 31, 2026, if the Company is listed on a stock exchange and is a reporting issuer in Canada at such time. The Company may also force the exchange of the Class B Shares into Common Shares if there is a change of control transaction involving the Company, a change in law which makes the exchange necessary or desirable or if there are a de minimis number of Class B Shares outstanding. If the Company is listed on a stock exchange at the time of the applicable exchange, the Company may elect to pay Ms. Malone cash in lieu of issuing Common Shares, with such cash amount to be determined based on the then current market price of the Common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pre-funded warrant entitles the holder thereof to acquire one Common Share at a price of $6.99999 per Pre-Funded Warrant, which equals the public offering price per Common Share less the $0.000001 per share exercise price of each Pre-Funded Warrant following the closing date of the 2026 Offering being February 20,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8,855,638 Common Shares that are issuable on a one-to-one basis for no additional consideration upon conversion of the 8,855,638 Preferred Shares. Of the original 8,905,638 preferred shares issued on October 31, 2024, 50,000 have been converted to common shares as of the date 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Disclosure Controls and Procedures and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The Chief Executive Officer (“</w:t>
      </w:r>
      <w:r>
        <w:rPr>
          <w:rFonts w:ascii="Times New Roman" w:hAnsi="Times New Roman"/>
          <w:b/>
          <w:sz w:val="20"/>
        </w:rPr>
        <w:t>CEO</w:t>
      </w:r>
      <w:r>
        <w:rPr>
          <w:rFonts w:ascii="Times New Roman" w:hAnsi="Times New Roman"/>
          <w:sz w:val="20"/>
        </w:rPr>
        <w:t>”) and Chief Financial Officer (“</w:t>
      </w:r>
      <w:r>
        <w:rPr>
          <w:rFonts w:ascii="Times New Roman" w:hAnsi="Times New Roman"/>
          <w:b/>
          <w:sz w:val="20"/>
        </w:rPr>
        <w:t>CFO</w:t>
      </w:r>
      <w:r>
        <w:rPr>
          <w:rFonts w:ascii="Times New Roman" w:hAnsi="Times New Roman"/>
          <w:sz w:val="20"/>
        </w:rPr>
        <w:t xml:space="preserve">”) have designed or caused to be designed under their supervision, disclosure controls and procedures which provide reasonable assurance that material information regarding the Company is accumulated and communicated to the Company’s management, including its CEO and CFO, in a timely manner. </w:t>
      </w:r>
    </w:p>
    <w:p>
      <w:pPr>
        <w:pStyle w:val="TextBody"/>
        <w:bidi w:val="0"/>
        <w:spacing w:before="240" w:after="0"/>
        <w:jc w:val="left"/>
        <w:rPr>
          <w:rFonts w:ascii="Times New Roman" w:hAnsi="Times New Roman"/>
          <w:sz w:val="20"/>
        </w:rPr>
      </w:pPr>
      <w:r>
        <w:rPr>
          <w:rFonts w:ascii="Times New Roman" w:hAnsi="Times New Roman"/>
          <w:sz w:val="20"/>
        </w:rPr>
        <w:t>In addition, the CEO and CFO have designed or caused to be designed under their supervision internal controls over financial reporting (“</w:t>
      </w:r>
      <w:r>
        <w:rPr>
          <w:rFonts w:ascii="Times New Roman" w:hAnsi="Times New Roman"/>
          <w:b/>
          <w:sz w:val="20"/>
        </w:rPr>
        <w:t>ICFR</w:t>
      </w:r>
      <w:r>
        <w:rPr>
          <w:rFonts w:ascii="Times New Roman" w:hAnsi="Times New Roman"/>
          <w:sz w:val="20"/>
        </w:rPr>
        <w:t xml:space="preserve">”) to provide reasonable assurance regarding the reliability of financial reporting and the preparation of financial statements. The control framework used to design the Company’s ICFR uses the framework and criteria established in the </w:t>
      </w:r>
      <w:r>
        <w:rPr>
          <w:rFonts w:ascii="Times New Roman" w:hAnsi="Times New Roman"/>
          <w:i/>
          <w:sz w:val="20"/>
        </w:rPr>
        <w:t>Internal Control-Integrated Framework</w:t>
      </w:r>
      <w:r>
        <w:rPr>
          <w:rFonts w:ascii="Times New Roman" w:hAnsi="Times New Roman"/>
          <w:sz w:val="20"/>
        </w:rPr>
        <w:t xml:space="preserve"> (2013), issued by the Committee of Sponsoring Organizations of the Treadway Commission (“</w:t>
      </w:r>
      <w:r>
        <w:rPr>
          <w:rFonts w:ascii="Times New Roman" w:hAnsi="Times New Roman"/>
          <w:b/>
          <w:sz w:val="20"/>
        </w:rPr>
        <w:t>COSO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control system, no matter how well conceived and operated, can provide only reasonable, not absolute, assurance that its objectives are met. Due to inherent limitations in all such systems, no evaluations of controls can provide absolute assurance that all control issues, if any, within a company have been detected. Accordingly, our disclosure controls and procedures and our ICFR are designed to be effective in providing reasonable, not absolute, assurance that the objectives of our control systems have been met. </w:t>
      </w:r>
    </w:p>
    <w:p>
      <w:pPr>
        <w:pStyle w:val="TextBody"/>
        <w:bidi w:val="0"/>
        <w:spacing w:before="240" w:after="0"/>
        <w:jc w:val="left"/>
        <w:rPr>
          <w:rFonts w:ascii="Times New Roman" w:hAnsi="Times New Roman"/>
          <w:sz w:val="20"/>
        </w:rPr>
      </w:pPr>
      <w:r>
        <w:rPr>
          <w:rFonts w:ascii="Times New Roman" w:hAnsi="Times New Roman"/>
          <w:sz w:val="20"/>
        </w:rPr>
        <w:t xml:space="preserve">The CEO and the CFO have evaluated, or caused to be evaluated under their supervision and determined there were no changes to the Company’s internal controls over financial reporting during the three months ended March 31, 2026 that materially affected, or were reasonably likely to materially affect, the Company’s internal controls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Additional information about the Company is available on SEDAR+ at www.sedarplus.ca. and EDGAR at www.sec.gov/edgar.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right"/>
        <w:rPr>
          <w:rFonts w:ascii="Times New Roman" w:hAnsi="Times New Roman"/>
          <w:b/>
          <w:sz w:val="20"/>
        </w:rPr>
      </w:pPr>
      <w:bookmarkStart w:id="6" w:name="d133809dex993.htm"/>
      <w:bookmarkStart w:id="7" w:name="ksd133809dex993"/>
      <w:bookmarkEnd w:id="6"/>
      <w:bookmarkEnd w:id="7"/>
      <w:r>
        <w:rPr>
          <w:rFonts w:ascii="Times New Roman" w:hAnsi="Times New Roman"/>
          <w:b/>
          <w:sz w:val="20"/>
        </w:rPr>
        <w:t xml:space="preserve">Exhibit 99.3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005455" cy="9404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05455" cy="94043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Eupraxia Pharmaceuticals Reports First Quarter 2026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Robust response in highest dose cohort after 36 weeks following a single treatment of EP-104GI </w:t>
      </w:r>
    </w:p>
    <w:p>
      <w:pPr>
        <w:pStyle w:val="TextBody"/>
        <w:bidi w:val="0"/>
        <w:spacing w:before="240" w:after="0"/>
        <w:jc w:val="center"/>
        <w:rPr>
          <w:rFonts w:ascii="Times New Roman" w:hAnsi="Times New Roman"/>
          <w:i/>
          <w:sz w:val="20"/>
        </w:rPr>
      </w:pPr>
      <w:r>
        <w:rPr>
          <w:rFonts w:ascii="Times New Roman" w:hAnsi="Times New Roman"/>
          <w:i/>
          <w:sz w:val="20"/>
        </w:rPr>
        <w:t xml:space="preserve">Completion of a $63.2 million public offering to enable clinical trials of EP-104GI in additional indications </w:t>
      </w:r>
    </w:p>
    <w:p>
      <w:pPr>
        <w:pStyle w:val="TextBody"/>
        <w:bidi w:val="0"/>
        <w:spacing w:before="240" w:after="0"/>
        <w:jc w:val="center"/>
        <w:rPr>
          <w:rFonts w:ascii="Times New Roman" w:hAnsi="Times New Roman"/>
          <w:i/>
          <w:sz w:val="20"/>
        </w:rPr>
      </w:pPr>
      <w:r>
        <w:rPr>
          <w:rFonts w:ascii="Times New Roman" w:hAnsi="Times New Roman"/>
          <w:i/>
          <w:sz w:val="20"/>
        </w:rPr>
        <w:t xml:space="preserve">Well-capitalized into H2 2028, beyond key catalysts with over $140 million cash </w:t>
      </w:r>
    </w:p>
    <w:p>
      <w:pPr>
        <w:pStyle w:val="TextBody"/>
        <w:bidi w:val="0"/>
        <w:spacing w:before="240" w:after="0"/>
        <w:jc w:val="left"/>
        <w:rPr>
          <w:rFonts w:ascii="Times New Roman" w:hAnsi="Times New Roman"/>
          <w:sz w:val="20"/>
        </w:rPr>
      </w:pPr>
      <w:r>
        <w:rPr>
          <w:rFonts w:ascii="Times New Roman" w:hAnsi="Times New Roman"/>
          <w:b/>
          <w:sz w:val="20"/>
        </w:rPr>
        <w:t>VANCOUVER, British Columbia, May</w:t>
      </w:r>
      <w:r>
        <w:rPr>
          <w:rFonts w:ascii="Times New Roman" w:hAnsi="Times New Roman"/>
          <w:sz w:val="20"/>
        </w:rPr>
        <w:t> </w:t>
      </w:r>
      <w:r>
        <w:rPr>
          <w:rFonts w:ascii="Times New Roman" w:hAnsi="Times New Roman"/>
          <w:b/>
          <w:sz w:val="20"/>
        </w:rPr>
        <w:t>12, 2026</w:t>
      </w:r>
      <w:r>
        <w:rPr>
          <w:rFonts w:ascii="Times New Roman" w:hAnsi="Times New Roman"/>
          <w:sz w:val="20"/>
        </w:rPr>
        <w:t xml:space="preserve"> – Eupraxia Pharmaceuticals Inc. (“Eupraxia” or the “Company”) (NASDAQ:EPRX) (TSX:EPRX), a clinical-stage biotechnology company leveraging its proprietary Diffusphere technology designed to optimize local, controlled drug delivery for applications with significant unmet need, today announced its financial results for the first quarter of 2026. </w:t>
      </w:r>
    </w:p>
    <w:p>
      <w:pPr>
        <w:pStyle w:val="TextBody"/>
        <w:bidi w:val="0"/>
        <w:spacing w:before="240" w:after="0"/>
        <w:jc w:val="left"/>
        <w:rPr/>
      </w:pPr>
      <w:r>
        <w:rPr/>
        <w:t>“</w:t>
      </w:r>
      <w:r>
        <w:rPr>
          <w:rFonts w:ascii="Times New Roman" w:hAnsi="Times New Roman"/>
          <w:sz w:val="20"/>
        </w:rPr>
        <w:t xml:space="preserve">The clinical data reported this quarter further reinforces the potential for EP-104GI to become an important new treatment for Eosinophilic Esophagitis (EoE),” said Dr. James A. Helliwell, Chief Executive Officer of Eupraxia. “With the capital from the recent financing, we are excited to continue development of EP-104GI in EoE and accelerate additional clinical programs in new indications within the GI field, where we believe that EP-104GI has the opportunity to work due to the Diffusphere’s ability to provide hyper-targeted delivery into diseased areas over a long period of time without the typical systemic exposure profile.” </w:t>
      </w:r>
    </w:p>
    <w:p>
      <w:pPr>
        <w:pStyle w:val="TextBody"/>
        <w:bidi w:val="0"/>
        <w:spacing w:before="360" w:after="0"/>
        <w:jc w:val="left"/>
        <w:rPr>
          <w:rFonts w:ascii="Times New Roman" w:hAnsi="Times New Roman"/>
          <w:b/>
          <w:sz w:val="20"/>
        </w:rPr>
      </w:pPr>
      <w:r>
        <w:rPr>
          <w:rFonts w:ascii="Times New Roman" w:hAnsi="Times New Roman"/>
          <w:b/>
          <w:sz w:val="20"/>
        </w:rPr>
        <w:t xml:space="preserve">Recent Operational and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January 8, 2026, the Company announced positive tissue health data from its ongoing RESOLVE trial in EoE demonstrating near-complete improvement on biopsy.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20, 2026, the Company announced the closing of a public offering of Common Shares (the “Offering”). The Company issued 7,607,145 Common Shares at a price of $7.00 per Common Share for gross proceeds of approximately $63.2 million which included the issuance of 1,178,571 Common Shares upon full exercise of the option to purchase additional shares granted to the underwriters, and 1,428,571 Pre-Funded Warrants at a price of $6.99999 per Pre-Funded Warrant.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March 17, 2026, the Company announced six-month symptom data from the highest dose cohort in its ongoing Phase 1b/2a RESOLVE trial in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21, 2026, the Company announced positive nine-month tissue health and symptom data from the highest dose cohort in its ongoing Phase 1b/2a RESOLVE trial in EoE.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Quarter 2026 Financial Review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incurred a net loss of $12.7 million for the three months ended March 31, 2026, versus a net loss of $6.8 million for the three months ended March 31, 2025. The increase in net loss was primarily due to an increase in research and development costs as a result of doubling the size of the RESOLVE Part 2 trial and general and administrative costs, partially offset by an increase in other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cash and cash equivalents of $58.5 million and short-term investments of $80.4 million as of March 31, 2026, up from a cash balance of $80.6 million at the end of the fourth quarter of 2025. These funds are being used to fund clinical trials in EP-104GI and the remainder of the funds will be used for general and administrative expenses, working capital needs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anticipates that existing cash reserves, and proceeds from the anticipated future exercise of in-the-money warrants, will be sufficient to fund the Company into the second half of 2028.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Company had 61,808,630 common shares and 8,355,638 preferred shares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Impact of Tariffs </w:t>
      </w:r>
    </w:p>
    <w:p>
      <w:pPr>
        <w:pStyle w:val="TextBody"/>
        <w:bidi w:val="0"/>
        <w:spacing w:before="120" w:after="0"/>
        <w:jc w:val="left"/>
        <w:rPr>
          <w:rFonts w:ascii="Times New Roman" w:hAnsi="Times New Roman"/>
          <w:sz w:val="20"/>
        </w:rPr>
      </w:pPr>
      <w:r>
        <w:rPr>
          <w:rFonts w:ascii="Times New Roman" w:hAnsi="Times New Roman"/>
          <w:sz w:val="20"/>
        </w:rPr>
        <w:t xml:space="preserve">Management continues to monitor the North American trade situation that began with the February 2025 announcement by the U.S. government of proposed 25% tariffs on selected imported Canadian goods, and the subsequent Canadian announcement of planned retaliatory tariffs on selected imported U.S. goods. At present, U.S. tariffs are in flux following the recent U.S. Supreme Court decision regarding the scope of executive tariff authority that struck down certain tariffs that had been in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Eupraxia manufactures its clinical supplies of EP-104IAR and EP-104GI in the U.S. by a third-party. The Company expects to continue to access manufactured products from the U.S.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U.S. dollar balances to pay U.S. dollar expenses and to minimize the impact of short-term fluctuations in exchange rates. </w:t>
      </w:r>
    </w:p>
    <w:p>
      <w:pPr>
        <w:pStyle w:val="TextBody"/>
        <w:bidi w:val="0"/>
        <w:spacing w:before="240" w:after="0"/>
        <w:jc w:val="left"/>
        <w:rPr>
          <w:rFonts w:ascii="Times New Roman" w:hAnsi="Times New Roman"/>
          <w:sz w:val="20"/>
        </w:rPr>
      </w:pPr>
      <w:r>
        <w:rPr>
          <w:rFonts w:ascii="Times New Roman" w:hAnsi="Times New Roman"/>
          <w:sz w:val="20"/>
        </w:rPr>
        <w:t xml:space="preserve">Management continues to assess the potential direct and indirect impacts of tariffs, counter-tariffs and other trade protection measures on Eupraxia’s business and will take those steps it deems necessary to attempt to mitigate any impact as the situation evolves.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Statements and Management Discussion &amp; Analysis </w:t>
      </w:r>
    </w:p>
    <w:p>
      <w:pPr>
        <w:pStyle w:val="TextBody"/>
        <w:bidi w:val="0"/>
        <w:spacing w:before="120" w:after="0"/>
        <w:jc w:val="left"/>
        <w:rPr>
          <w:rFonts w:ascii="Times New Roman" w:hAnsi="Times New Roman"/>
          <w:sz w:val="20"/>
        </w:rPr>
      </w:pPr>
      <w:r>
        <w:rPr>
          <w:rFonts w:ascii="Times New Roman" w:hAnsi="Times New Roman"/>
          <w:sz w:val="20"/>
        </w:rPr>
        <w:t>Please see the unaudited interim consolidated financial statements and related MD&amp;A for more details. The unaudited interim consolidated financial statements for the quarter ended March 31, 2026, and related MD&amp;A have been reviewed and approved by Eupraxia’s Audit Committee and Board of Directors. For a more detailed explanation and analysis, please refer to the MD&amp;A that has been filed under the Company’s profile on EDGAR at </w:t>
      </w:r>
      <w:r>
        <w:rPr>
          <w:rFonts w:ascii="Times New Roman" w:hAnsi="Times New Roman"/>
          <w:sz w:val="20"/>
          <w:u w:val="single"/>
        </w:rPr>
        <w:t>www.sec.gov</w:t>
      </w:r>
      <w:r>
        <w:rPr>
          <w:rFonts w:ascii="Times New Roman" w:hAnsi="Times New Roman"/>
          <w:sz w:val="20"/>
        </w:rPr>
        <w:t> and on SEDAR+ at </w:t>
      </w:r>
      <w:r>
        <w:rPr>
          <w:rFonts w:ascii="Times New Roman" w:hAnsi="Times New Roman"/>
          <w:sz w:val="20"/>
          <w:u w:val="single"/>
        </w:rPr>
        <w:t>sedarplus.ca</w:t>
      </w:r>
      <w:r>
        <w:rPr>
          <w:rFonts w:ascii="Times New Roman" w:hAnsi="Times New Roman"/>
          <w:sz w:val="20"/>
        </w:rPr>
        <w:t> and which is also available on the Company’s website at </w:t>
      </w:r>
      <w:r>
        <w:rPr>
          <w:rFonts w:ascii="Times New Roman" w:hAnsi="Times New Roman"/>
          <w:sz w:val="20"/>
          <w:u w:val="single"/>
        </w:rPr>
        <w:t>www.eupraxiapharma.com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About Eupraxia Pharmaceuticals Inc.</w:t>
      </w:r>
    </w:p>
    <w:p>
      <w:pPr>
        <w:pStyle w:val="TextBody"/>
        <w:bidi w:val="0"/>
        <w:spacing w:before="120" w:after="0"/>
        <w:jc w:val="left"/>
        <w:rPr>
          <w:rFonts w:ascii="Times New Roman" w:hAnsi="Times New Roman"/>
          <w:sz w:val="20"/>
        </w:rPr>
      </w:pPr>
      <w:r>
        <w:rPr>
          <w:rFonts w:ascii="Times New Roman" w:hAnsi="Times New Roman"/>
          <w:sz w:val="20"/>
        </w:rPr>
        <w:t xml:space="preserve">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Eupraxia’s EP-104GI is currently in a Phase 1b/2 trial, the RESOLVE trial, for the treatment of EoE. EP-104GI is administered as an injection into the esophageal wall, providing local delivery of drug. This is a unique treatment approach for EoE. Eupraxia also completed a Phase 2b clinical trial (SPRINGBOARD) of EP-104IAR for the treatment of pain due to knee osteoarthritis. The trial met its primary endpoint and three of the four secondary endpoints. In addition, Eupraxia is developing a pipeline of later and earlier-stage long-acting formulations. Potential pipeline indications include candidates for other inflammatory joint indications and oncology, each designed to improve on the activity and tolerability of currently approved drugs. For further details about Eupraxia, please visit the Company’s website at: </w:t>
      </w:r>
      <w:r>
        <w:rPr>
          <w:rFonts w:ascii="Times New Roman" w:hAnsi="Times New Roman"/>
          <w:sz w:val="20"/>
          <w:u w:val="single"/>
        </w:rPr>
        <w:t>www.eupraxiapharma.com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Notice Regarding Forward-looking Statements and Information</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includes forward-looking statements and forward-looking information within the meaning of applicable securities laws. Often, but not always, forward-looking information can be identified by the use of words such as “plans”, “is expected”, “expects”, “suggests”, “indicates”, “scheduled”, “intends”, “contemplates”, “anticipates”, “believes”, “proposes”, “potential” or variations (including negative and grammatical variations) of such words and phrases, or statements that certain actions, events or results “may”, “could”, “would”, “might” or “will” be taken, occur or be achieved. Forward-looking statements in this news release include statements regarding the interpretation of the 36-week data from the RESOLVE trial, including tissue health and symptom response; the Company’s expected timing of reporting additional data from the RESOLVE trial, including the Phase 2b portion thereof; the Company’s product candidates, including their expected benefits with respect to safety, tolerability, efficacy and duration of effect and their potential use in therapeutic areas beyond pain and inflammatory gastrointestinal disease; the expectations regarding the advancement of the Company’s product candidates through clinical development; the results of clinical trials of the Company’s product candidates; the potential for the Company’s technology to impact the drug delivery process; the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 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that the Company could lose license rights that are important to its business;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EP-104IAR and EP-104GI; the fact that the Company relies on external contract research organizations to provide clinical and non-clinical research services; the possibility that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For investor and media inquiries, please contact:</w:t>
      </w:r>
    </w:p>
    <w:p>
      <w:pPr>
        <w:pStyle w:val="TextBody"/>
        <w:bidi w:val="0"/>
        <w:spacing w:before="0" w:after="0"/>
        <w:jc w:val="left"/>
        <w:rPr>
          <w:rFonts w:ascii="Times New Roman" w:hAnsi="Times New Roman"/>
          <w:sz w:val="20"/>
        </w:rPr>
      </w:pPr>
      <w:r>
        <w:rPr>
          <w:rFonts w:ascii="Times New Roman" w:hAnsi="Times New Roman"/>
          <w:sz w:val="20"/>
        </w:rPr>
        <w:t>James Meikle, Eupraxia Pharmaceuticals Inc.</w:t>
      </w:r>
    </w:p>
    <w:p>
      <w:pPr>
        <w:pStyle w:val="TextBody"/>
        <w:bidi w:val="0"/>
        <w:spacing w:before="0" w:after="0"/>
        <w:jc w:val="left"/>
        <w:rPr>
          <w:rFonts w:ascii="Times New Roman" w:hAnsi="Times New Roman"/>
          <w:sz w:val="20"/>
        </w:rPr>
      </w:pPr>
      <w:r>
        <w:rPr>
          <w:rFonts w:ascii="Times New Roman" w:hAnsi="Times New Roman"/>
          <w:sz w:val="20"/>
        </w:rPr>
        <w:t>236-330-7084</w:t>
      </w:r>
    </w:p>
    <w:p>
      <w:pPr>
        <w:pStyle w:val="TextBody"/>
        <w:bidi w:val="0"/>
        <w:spacing w:before="0" w:after="0"/>
        <w:jc w:val="left"/>
        <w:rPr>
          <w:rFonts w:ascii="Times New Roman" w:hAnsi="Times New Roman"/>
          <w:sz w:val="20"/>
          <w:u w:val="single"/>
        </w:rPr>
      </w:pPr>
      <w:r>
        <w:rPr>
          <w:rFonts w:ascii="Times New Roman" w:hAnsi="Times New Roman"/>
          <w:sz w:val="20"/>
          <w:u w:val="single"/>
        </w:rPr>
        <w:t>jmeikle@eupraxiapharma.com</w:t>
      </w:r>
    </w:p>
    <w:p>
      <w:pPr>
        <w:pStyle w:val="TextBody"/>
        <w:bidi w:val="0"/>
        <w:spacing w:before="240" w:after="0"/>
        <w:jc w:val="left"/>
        <w:rPr>
          <w:rFonts w:ascii="Times New Roman" w:hAnsi="Times New Roman"/>
          <w:sz w:val="20"/>
        </w:rPr>
      </w:pPr>
      <w:r>
        <w:rPr>
          <w:rFonts w:ascii="Times New Roman" w:hAnsi="Times New Roman"/>
          <w:sz w:val="20"/>
        </w:rPr>
        <w:t>or</w:t>
      </w:r>
    </w:p>
    <w:p>
      <w:pPr>
        <w:pStyle w:val="TextBody"/>
        <w:bidi w:val="0"/>
        <w:spacing w:before="240" w:after="0"/>
        <w:jc w:val="left"/>
        <w:rPr>
          <w:rFonts w:ascii="Times New Roman" w:hAnsi="Times New Roman"/>
          <w:sz w:val="20"/>
        </w:rPr>
      </w:pPr>
      <w:r>
        <w:rPr>
          <w:rFonts w:ascii="Times New Roman" w:hAnsi="Times New Roman"/>
          <w:sz w:val="20"/>
        </w:rPr>
        <w:t>Kevin Gardner, on behalf of:</w:t>
      </w:r>
    </w:p>
    <w:p>
      <w:pPr>
        <w:pStyle w:val="TextBody"/>
        <w:bidi w:val="0"/>
        <w:spacing w:before="0" w:after="0"/>
        <w:jc w:val="left"/>
        <w:rPr>
          <w:rFonts w:ascii="Times New Roman" w:hAnsi="Times New Roman"/>
          <w:sz w:val="20"/>
        </w:rPr>
      </w:pPr>
      <w:r>
        <w:rPr>
          <w:rFonts w:ascii="Times New Roman" w:hAnsi="Times New Roman"/>
          <w:sz w:val="20"/>
        </w:rPr>
        <w:t>Eupraxia Pharmaceuticals Inc.</w:t>
      </w:r>
    </w:p>
    <w:p>
      <w:pPr>
        <w:pStyle w:val="TextBody"/>
        <w:bidi w:val="0"/>
        <w:spacing w:before="0" w:after="0"/>
        <w:jc w:val="left"/>
        <w:rPr>
          <w:rFonts w:ascii="Times New Roman" w:hAnsi="Times New Roman"/>
          <w:sz w:val="20"/>
        </w:rPr>
      </w:pPr>
      <w:r>
        <w:rPr>
          <w:rFonts w:ascii="Times New Roman" w:hAnsi="Times New Roman"/>
          <w:sz w:val="20"/>
        </w:rPr>
        <w:t>617-283-2856</w:t>
      </w:r>
    </w:p>
    <w:p>
      <w:pPr>
        <w:pStyle w:val="TextBody"/>
        <w:bidi w:val="0"/>
        <w:spacing w:before="0" w:after="0"/>
        <w:jc w:val="left"/>
        <w:rPr>
          <w:rFonts w:ascii="Times New Roman" w:hAnsi="Times New Roman"/>
          <w:sz w:val="20"/>
          <w:u w:val="single"/>
        </w:rPr>
      </w:pPr>
      <w:r>
        <w:rPr>
          <w:rFonts w:ascii="Times New Roman" w:hAnsi="Times New Roman"/>
          <w:sz w:val="20"/>
          <w:u w:val="single"/>
        </w:rPr>
        <w:t>kgardner@lifesciadvisors.com</w:t>
      </w:r>
    </w:p>
    <w:p>
      <w:pPr>
        <w:pStyle w:val="TextBody"/>
        <w:bidi w:val="0"/>
        <w:spacing w:before="240" w:after="0"/>
        <w:jc w:val="left"/>
        <w:rPr>
          <w:rFonts w:ascii="Times New Roman" w:hAnsi="Times New Roman"/>
          <w:sz w:val="20"/>
        </w:rPr>
      </w:pPr>
      <w:r>
        <w:rPr>
          <w:rFonts w:ascii="Times New Roman" w:hAnsi="Times New Roman"/>
          <w:sz w:val="20"/>
        </w:rPr>
        <w:t>SOURCE Eupraxia Pharmaceuticals Inc.</w:t>
      </w:r>
    </w:p>
    <w:p>
      <w:pPr>
        <w:pStyle w:val="TextBody"/>
        <w:bidi w:val="0"/>
        <w:spacing w:before="0" w:after="0"/>
        <w:jc w:val="right"/>
        <w:rPr>
          <w:rFonts w:ascii="Times New Roman" w:hAnsi="Times New Roman"/>
          <w:b/>
          <w:sz w:val="20"/>
        </w:rPr>
      </w:pPr>
      <w:bookmarkStart w:id="8" w:name="d133809dex994.htm"/>
      <w:bookmarkStart w:id="9" w:name="ksd133809dex994"/>
      <w:bookmarkEnd w:id="8"/>
      <w:bookmarkEnd w:id="9"/>
      <w:r>
        <w:rPr>
          <w:rFonts w:ascii="Times New Roman" w:hAnsi="Times New Roman"/>
          <w:b/>
          <w:sz w:val="20"/>
        </w:rPr>
        <w:t xml:space="preserve">Exhibit 99.4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52-109F2 </w:t>
      </w:r>
    </w:p>
    <w:p>
      <w:pPr>
        <w:pStyle w:val="TextBody"/>
        <w:bidi w:val="0"/>
        <w:spacing w:before="0" w:after="0"/>
        <w:jc w:val="center"/>
        <w:rPr>
          <w:rFonts w:ascii="Times New Roman" w:hAnsi="Times New Roman"/>
          <w:b/>
          <w:i/>
          <w:sz w:val="20"/>
        </w:rPr>
      </w:pPr>
      <w:r>
        <w:rPr>
          <w:rFonts w:ascii="Times New Roman" w:hAnsi="Times New Roman"/>
          <w:b/>
          <w:i/>
          <w:sz w:val="20"/>
        </w:rPr>
        <w:t xml:space="preserve">Certification of Interim Filings </w:t>
      </w:r>
    </w:p>
    <w:p>
      <w:pPr>
        <w:pStyle w:val="TextBody"/>
        <w:bidi w:val="0"/>
        <w:spacing w:before="0" w:after="0"/>
        <w:jc w:val="center"/>
        <w:rPr>
          <w:rFonts w:ascii="Times New Roman" w:hAnsi="Times New Roman"/>
          <w:b/>
          <w:i/>
          <w:sz w:val="20"/>
        </w:rPr>
      </w:pPr>
      <w:r>
        <w:rPr>
          <w:rFonts w:ascii="Times New Roman" w:hAnsi="Times New Roman"/>
          <w:b/>
          <w:i/>
          <w:sz w:val="20"/>
        </w:rPr>
        <w:t xml:space="preserve">Full Certificate </w:t>
      </w:r>
    </w:p>
    <w:p>
      <w:pPr>
        <w:pStyle w:val="TextBody"/>
        <w:bidi w:val="0"/>
        <w:spacing w:before="240" w:after="0"/>
        <w:jc w:val="left"/>
        <w:rPr>
          <w:rFonts w:ascii="Times New Roman" w:hAnsi="Times New Roman"/>
          <w:sz w:val="20"/>
        </w:rPr>
      </w:pPr>
      <w:r>
        <w:rPr>
          <w:rFonts w:ascii="Times New Roman" w:hAnsi="Times New Roman"/>
          <w:sz w:val="20"/>
        </w:rPr>
        <w:t xml:space="preserve">I, James Helliwell, Chief Executive Officer of Eupraxia Pharmaceuticals Inc., certify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Review:</w:t>
            </w:r>
            <w:r>
              <w:rPr>
                <w:rFonts w:ascii="Times New Roman" w:hAnsi="Times New Roman"/>
                <w:sz w:val="20"/>
              </w:rPr>
              <w:t xml:space="preserve"> I have reviewed the interim financial report and interim MD&amp;A (together, the “interim filings”) of Eupraxia Pharmaceuticals Inc</w:t>
            </w:r>
            <w:r>
              <w:rPr>
                <w:rFonts w:ascii="Times New Roman" w:hAnsi="Times New Roman"/>
                <w:b/>
                <w:sz w:val="20"/>
              </w:rPr>
              <w:t>.</w:t>
            </w:r>
            <w:r>
              <w:rPr>
                <w:rFonts w:ascii="Times New Roman" w:hAnsi="Times New Roman"/>
                <w:sz w:val="20"/>
              </w:rPr>
              <w:t xml:space="preserve"> (the “issuer”) for the interim period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No misrepresentations:</w:t>
            </w:r>
            <w:r>
              <w:rPr>
                <w:rFonts w:ascii="Times New Roman" w:hAnsi="Times New Roman"/>
                <w:sz w:val="20"/>
              </w:rPr>
              <w:t xml:space="preserve"> 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Fair presentation:</w:t>
            </w:r>
            <w:r>
              <w:rPr>
                <w:rFonts w:ascii="Times New Roman" w:hAnsi="Times New Roman"/>
                <w:sz w:val="20"/>
              </w:rPr>
              <w:t xml:space="preserve"> Based on my knowledge, having exercised reasonable diligence, the interim financial report together with the other financial information included in the interim filings fairly present in all material respects the financial condition, financial performance and cash flows of the issuer, as of the date of and for the periods presented in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Responsibility: </w:t>
            </w:r>
            <w:r>
              <w:rPr>
                <w:rFonts w:ascii="Times New Roman" w:hAnsi="Times New Roman"/>
                <w:sz w:val="20"/>
              </w:rPr>
              <w:t xml:space="preserve">The issuer’s other certifying officer(s) and I are responsible for establishing and maintaining disclosure controls and procedures (DC&amp;P) and internal control over financial reporting (ICFR), as those terms are defined in National Instrument 52-109 </w:t>
            </w:r>
            <w:r>
              <w:rPr>
                <w:rFonts w:ascii="Times New Roman" w:hAnsi="Times New Roman"/>
                <w:i/>
                <w:sz w:val="20"/>
              </w:rPr>
              <w:t>Certification of Disclosure in Issuers’ Annual and Interim Filings,</w:t>
            </w:r>
            <w:r>
              <w:rPr>
                <w:rFonts w:ascii="Times New Roman" w:hAnsi="Times New Roman"/>
                <w:sz w:val="20"/>
              </w:rPr>
              <w:t xml:space="preserve"> for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Design:</w:t>
            </w:r>
            <w:r>
              <w:rPr>
                <w:rFonts w:ascii="Times New Roman" w:hAnsi="Times New Roman"/>
                <w:sz w:val="20"/>
              </w:rPr>
              <w:t xml:space="preserve"> Subject to the limitations, if any, described in paragraphs 5.2 and 5.3, the issuer’s other certifying officer(s) and I have, as at the end of the period covered by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DC&amp;P, or caused it to be designed under our supervision, to provide reasonable assurance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information relating to the issuer is made known to us by others, particularly during the period in which the interim filings are being prepared;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required to be disclosed by the issuer in its annual filings, interim filings or other reports filed or submitted by it under securities legislation is recorded, processed, summarized and reported within the time periods specified in securities legislation;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ICFR, or caused it to be designed under our supervision, to provide reasonable assurance regarding the reliability of financial reporting and the preparation of financial statements for external purposes in accordance with the issuer’s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Control framework:</w:t>
            </w:r>
            <w:r>
              <w:rPr>
                <w:rFonts w:ascii="Times New Roman" w:hAnsi="Times New Roman"/>
                <w:sz w:val="20"/>
              </w:rPr>
              <w:t xml:space="preserve"> The control framework the issuer’s other certifying officer(s) and I used to design the issuer’s ICFR is the </w:t>
            </w:r>
            <w:r>
              <w:rPr>
                <w:rFonts w:ascii="Times New Roman" w:hAnsi="Times New Roman"/>
                <w:i/>
                <w:sz w:val="20"/>
              </w:rPr>
              <w:t>Internal Control – Integrated Framework</w:t>
            </w:r>
            <w:r>
              <w:rPr>
                <w:rFonts w:ascii="Times New Roman" w:hAnsi="Times New Roman"/>
                <w:sz w:val="20"/>
              </w:rPr>
              <w:t xml:space="preserve"> (2013 COSO Framework) published by the </w:t>
            </w:r>
            <w:r>
              <w:rPr>
                <w:rFonts w:ascii="Times New Roman" w:hAnsi="Times New Roman"/>
                <w:i/>
                <w:sz w:val="20"/>
              </w:rPr>
              <w:t>Committee of Sponsoring Organizations of the treadway Commission.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ICFR – material weakness relating to design: </w:t>
            </w:r>
            <w:r>
              <w:rPr>
                <w:rFonts w:ascii="Times New Roman" w:hAnsi="Times New Roman"/>
                <w:sz w:val="20"/>
              </w:rPr>
              <w:t xml:space="preserve">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scope of design:</w:t>
            </w:r>
            <w:r>
              <w:rPr>
                <w:rFonts w:ascii="Times New Roman" w:hAnsi="Times New Roman"/>
                <w:sz w:val="20"/>
              </w:rPr>
              <w:t xml:space="preserve"> 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Reporting changes in ICFR:</w:t>
            </w:r>
            <w:r>
              <w:rPr>
                <w:rFonts w:ascii="Times New Roman" w:hAnsi="Times New Roman"/>
                <w:sz w:val="20"/>
              </w:rPr>
              <w:t xml:space="preserve"> The issuer has disclosed in its interim MD&amp;A any change in the issuer’s ICFR that occurred during the period beginning on January 1, 2026 and ended on March 31, 2026 that has materially affected, or is reasonably likely to materially affect, the issuer’s ICFR.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12,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James Helliwell</w:t>
            </w:r>
          </w:p>
        </w:tc>
      </w:tr>
      <w:tr>
        <w:trPr/>
        <w:tc>
          <w:tcPr>
            <w:tcW w:w="4082" w:type="dxa"/>
            <w:tcBorders/>
          </w:tcPr>
          <w:p>
            <w:pPr>
              <w:pStyle w:val="TableContents"/>
              <w:bidi w:val="0"/>
              <w:spacing w:before="0" w:after="283"/>
              <w:jc w:val="left"/>
              <w:rPr/>
            </w:pPr>
            <w:r>
              <w:rPr/>
              <w:t>James Helliwell</w:t>
            </w:r>
          </w:p>
        </w:tc>
      </w:tr>
      <w:tr>
        <w:trPr/>
        <w:tc>
          <w:tcPr>
            <w:tcW w:w="4082" w:type="dxa"/>
            <w:tcBorders/>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10" w:name="d133809dex995.htm"/>
      <w:bookmarkStart w:id="11" w:name="ksd133809dex995"/>
      <w:bookmarkEnd w:id="10"/>
      <w:bookmarkEnd w:id="11"/>
      <w:r>
        <w:rPr>
          <w:rFonts w:ascii="Times New Roman" w:hAnsi="Times New Roman"/>
          <w:b/>
          <w:sz w:val="20"/>
        </w:rPr>
        <w:t xml:space="preserve">Exhibit 99.5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52-109F2 </w:t>
      </w:r>
    </w:p>
    <w:p>
      <w:pPr>
        <w:pStyle w:val="TextBody"/>
        <w:bidi w:val="0"/>
        <w:spacing w:before="0" w:after="0"/>
        <w:jc w:val="center"/>
        <w:rPr>
          <w:rFonts w:ascii="Times New Roman" w:hAnsi="Times New Roman"/>
          <w:b/>
          <w:i/>
          <w:sz w:val="20"/>
        </w:rPr>
      </w:pPr>
      <w:r>
        <w:rPr>
          <w:rFonts w:ascii="Times New Roman" w:hAnsi="Times New Roman"/>
          <w:b/>
          <w:i/>
          <w:sz w:val="20"/>
        </w:rPr>
        <w:t xml:space="preserve">Certification of Interim Filings </w:t>
      </w:r>
    </w:p>
    <w:p>
      <w:pPr>
        <w:pStyle w:val="TextBody"/>
        <w:bidi w:val="0"/>
        <w:spacing w:before="0" w:after="0"/>
        <w:jc w:val="center"/>
        <w:rPr>
          <w:rFonts w:ascii="Times New Roman" w:hAnsi="Times New Roman"/>
          <w:b/>
          <w:i/>
          <w:sz w:val="20"/>
        </w:rPr>
      </w:pPr>
      <w:r>
        <w:rPr>
          <w:rFonts w:ascii="Times New Roman" w:hAnsi="Times New Roman"/>
          <w:b/>
          <w:i/>
          <w:sz w:val="20"/>
        </w:rPr>
        <w:t xml:space="preserve">Full Certificate </w:t>
      </w:r>
    </w:p>
    <w:p>
      <w:pPr>
        <w:pStyle w:val="TextBody"/>
        <w:bidi w:val="0"/>
        <w:spacing w:before="240" w:after="0"/>
        <w:jc w:val="left"/>
        <w:rPr>
          <w:rFonts w:ascii="Times New Roman" w:hAnsi="Times New Roman"/>
          <w:sz w:val="20"/>
        </w:rPr>
      </w:pPr>
      <w:r>
        <w:rPr>
          <w:rFonts w:ascii="Times New Roman" w:hAnsi="Times New Roman"/>
          <w:sz w:val="20"/>
        </w:rPr>
        <w:t xml:space="preserve">I, Alex Rothwell, Chief Financial Officer of Eupraxia Pharmaceuticals Inc., certify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Review:</w:t>
            </w:r>
            <w:r>
              <w:rPr>
                <w:rFonts w:ascii="Times New Roman" w:hAnsi="Times New Roman"/>
                <w:sz w:val="20"/>
              </w:rPr>
              <w:t xml:space="preserve"> I have reviewed the interim financial report and interim MD&amp;A (together, the “interim filings”) of Eupraxia Pharmaceuticals Inc</w:t>
            </w:r>
            <w:r>
              <w:rPr>
                <w:rFonts w:ascii="Times New Roman" w:hAnsi="Times New Roman"/>
                <w:b/>
                <w:sz w:val="20"/>
              </w:rPr>
              <w:t>.</w:t>
            </w:r>
            <w:r>
              <w:rPr>
                <w:rFonts w:ascii="Times New Roman" w:hAnsi="Times New Roman"/>
                <w:sz w:val="20"/>
              </w:rPr>
              <w:t xml:space="preserve"> (the “issuer”) for the interim period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No misrepresentations:</w:t>
            </w:r>
            <w:r>
              <w:rPr>
                <w:rFonts w:ascii="Times New Roman" w:hAnsi="Times New Roman"/>
                <w:sz w:val="20"/>
              </w:rPr>
              <w:t xml:space="preserve"> 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Fair presentation:</w:t>
            </w:r>
            <w:r>
              <w:rPr>
                <w:rFonts w:ascii="Times New Roman" w:hAnsi="Times New Roman"/>
                <w:sz w:val="20"/>
              </w:rPr>
              <w:t xml:space="preserve"> Based on my knowledge, having exercised reasonable diligence, the interim financial report together with the other financial information included in the interim filings fairly present in all material respects the financial condition, financial performance and cash flows of the issuer, as of the date of and for the periods presented in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Responsibility: </w:t>
            </w:r>
            <w:r>
              <w:rPr>
                <w:rFonts w:ascii="Times New Roman" w:hAnsi="Times New Roman"/>
                <w:sz w:val="20"/>
              </w:rPr>
              <w:t xml:space="preserve">The issuer’s other certifying officer(s) and I are responsible for establishing and maintaining disclosure controls and procedures (DC&amp;P) and internal control over financial reporting (ICFR), as those terms are defined in National Instrument 52-109 </w:t>
            </w:r>
            <w:r>
              <w:rPr>
                <w:rFonts w:ascii="Times New Roman" w:hAnsi="Times New Roman"/>
                <w:i/>
                <w:sz w:val="20"/>
              </w:rPr>
              <w:t>Certification of Disclosure in Issuers’ Annual and Interim Filings,</w:t>
            </w:r>
            <w:r>
              <w:rPr>
                <w:rFonts w:ascii="Times New Roman" w:hAnsi="Times New Roman"/>
                <w:sz w:val="20"/>
              </w:rPr>
              <w:t xml:space="preserve"> for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Design:</w:t>
            </w:r>
            <w:r>
              <w:rPr>
                <w:rFonts w:ascii="Times New Roman" w:hAnsi="Times New Roman"/>
                <w:sz w:val="20"/>
              </w:rPr>
              <w:t xml:space="preserve"> Subject to the limitations, if any, described in paragraphs 5.2 and 5.3, the issuer’s other certifying officer(s) and I have, as at the end of the period covered by the interim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DC&amp;P, or caused it to be designed under our supervision, to provide reasonable assurance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information relating to the issuer is made known to us by others, particularly during the period in which the interim filings are being prepared;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required to be disclosed by the issuer in its annual filings, interim filings or other reports filed or submitted by it under securities legislation is recorded, processed, summarized and reported within the time periods specified in securities legislation;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ICFR, or caused it to be designed under our supervision, to provide reasonable assurance regarding the reliability of financial reporting and the preparation of financial statements for external purposes in accordance with the issuer’s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Control framework:</w:t>
            </w:r>
            <w:r>
              <w:rPr>
                <w:rFonts w:ascii="Times New Roman" w:hAnsi="Times New Roman"/>
                <w:sz w:val="20"/>
              </w:rPr>
              <w:t xml:space="preserve"> The control framework the issuer’s other certifying officer(s) and I used to design the issuer’s ICFR is the </w:t>
            </w:r>
            <w:r>
              <w:rPr>
                <w:rFonts w:ascii="Times New Roman" w:hAnsi="Times New Roman"/>
                <w:i/>
                <w:sz w:val="20"/>
              </w:rPr>
              <w:t>Internal Control – Integrated Framework</w:t>
            </w:r>
            <w:r>
              <w:rPr>
                <w:rFonts w:ascii="Times New Roman" w:hAnsi="Times New Roman"/>
                <w:sz w:val="20"/>
              </w:rPr>
              <w:t xml:space="preserve"> (2013 COSO Framework) published by the </w:t>
            </w:r>
            <w:r>
              <w:rPr>
                <w:rFonts w:ascii="Times New Roman" w:hAnsi="Times New Roman"/>
                <w:i/>
                <w:sz w:val="20"/>
              </w:rPr>
              <w:t>Committee of Sponsoring Organizations of the treadway Commission.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ICFR – material weakness relating to design: </w:t>
            </w:r>
            <w:r>
              <w:rPr>
                <w:rFonts w:ascii="Times New Roman" w:hAnsi="Times New Roman"/>
                <w:sz w:val="20"/>
              </w:rPr>
              <w:t xml:space="preserve">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scope of design:</w:t>
            </w:r>
            <w:r>
              <w:rPr>
                <w:rFonts w:ascii="Times New Roman" w:hAnsi="Times New Roman"/>
                <w:sz w:val="20"/>
              </w:rPr>
              <w:t xml:space="preserve"> 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Reporting changes in ICFR:</w:t>
            </w:r>
            <w:r>
              <w:rPr>
                <w:rFonts w:ascii="Times New Roman" w:hAnsi="Times New Roman"/>
                <w:sz w:val="20"/>
              </w:rPr>
              <w:t xml:space="preserve"> The issuer has disclosed in its interim MD&amp;A any change in the issuer’s ICFR that occurred during the period beginning on January 1, 2026 and ended on March 31, 2026 that has materially affected, or is reasonably likely to materially affect, the issuer’s ICFR.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12,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Alex Rothwell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Alex Rothwell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26698</Words>
  <Characters>150202</Characters>
  <CharactersWithSpaces>180659</CharactersWithSpaces>
  <Paragraphs>7225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EX-99.5</dc:title>
</cp:coreProperties>
</file>