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2683df10.htm"/>
        <w:bookmarkStart w:id="1" w:name="ksd142683df10"/>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August 5,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2"/>
        </w:rPr>
      </w:pPr>
      <w:r>
        <w:rPr>
          <w:rFonts w:ascii="Times New Roman" w:hAnsi="Times New Roman"/>
          <w:b/>
          <w:sz w:val="32"/>
        </w:rPr>
        <w:t xml:space="preserve">FORM F-10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Eupraxia Pharmaceuticals Inc. </w:t>
      </w:r>
    </w:p>
    <w:p>
      <w:pPr>
        <w:pStyle w:val="TextBody"/>
        <w:bidi w:val="0"/>
        <w:spacing w:before="0" w:after="0"/>
        <w:jc w:val="center"/>
        <w:rPr>
          <w:rFonts w:ascii="Times New Roman" w:hAnsi="Times New Roman"/>
          <w:sz w:val="18"/>
        </w:rPr>
      </w:pPr>
      <w:r>
        <w:rPr>
          <w:rFonts w:ascii="Times New Roman" w:hAnsi="Times New Roman"/>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6"/>
        </w:rPr>
      </w:pPr>
      <w:r>
        <w:rPr>
          <w:rFonts w:ascii="Times New Roman" w:hAnsi="Times New Roman"/>
          <w:b/>
          <w:sz w:val="16"/>
        </w:rPr>
        <w:t xml:space="preserve">Not applicable </w:t>
      </w:r>
    </w:p>
    <w:p>
      <w:pPr>
        <w:pStyle w:val="TextBody"/>
        <w:bidi w:val="0"/>
        <w:spacing w:before="0" w:after="0"/>
        <w:jc w:val="center"/>
        <w:rPr>
          <w:rFonts w:ascii="Times New Roman" w:hAnsi="Times New Roman"/>
          <w:sz w:val="16"/>
        </w:rPr>
      </w:pPr>
      <w:r>
        <w:rPr>
          <w:rFonts w:ascii="Times New Roman" w:hAnsi="Times New Roman"/>
          <w:sz w:val="16"/>
        </w:rPr>
        <w:t xml:space="preserve">(Translation of Registrant’s name into English (if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British Columbia</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2834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N/A</w:t>
            </w:r>
          </w:p>
        </w:tc>
      </w:tr>
      <w:tr>
        <w:trPr/>
        <w:tc>
          <w:tcPr>
            <w:tcW w:w="3470" w:type="dxa"/>
            <w:tcBorders/>
          </w:tcPr>
          <w:p>
            <w:pPr>
              <w:pStyle w:val="TableContents"/>
              <w:bidi w:val="0"/>
              <w:spacing w:before="0" w:after="0"/>
              <w:jc w:val="center"/>
              <w:rPr>
                <w:rFonts w:ascii="Times New Roman" w:hAnsi="Times New Roman"/>
                <w:sz w:val="16"/>
              </w:rPr>
            </w:pPr>
            <w:r>
              <w:rPr>
                <w:rFonts w:ascii="Times New Roman" w:hAnsi="Times New Roman"/>
                <w:sz w:val="16"/>
              </w:rPr>
              <w:t>(Province or other jurisdiction of</w:t>
            </w:r>
          </w:p>
          <w:p>
            <w:pPr>
              <w:pStyle w:val="TableContents"/>
              <w:bidi w:val="0"/>
              <w:spacing w:before="0" w:after="20"/>
              <w:jc w:val="center"/>
              <w:rPr>
                <w:rFonts w:ascii="Times New Roman" w:hAnsi="Times New Roman"/>
                <w:sz w:val="16"/>
              </w:rPr>
            </w:pPr>
            <w:r>
              <w:rPr>
                <w:rFonts w:ascii="Times New Roman" w:hAnsi="Times New Roman"/>
                <w:sz w:val="16"/>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Times New Roman" w:hAnsi="Times New Roman"/>
                <w:sz w:val="16"/>
              </w:rPr>
            </w:pPr>
            <w:r>
              <w:rPr>
                <w:rFonts w:ascii="Times New Roman" w:hAnsi="Times New Roman"/>
                <w:sz w:val="16"/>
              </w:rPr>
              <w:t>(Primary Standard Industrial</w:t>
            </w:r>
          </w:p>
          <w:p>
            <w:pPr>
              <w:pStyle w:val="TableContents"/>
              <w:bidi w:val="0"/>
              <w:spacing w:before="0" w:after="0"/>
              <w:jc w:val="center"/>
              <w:rPr>
                <w:rFonts w:ascii="Times New Roman" w:hAnsi="Times New Roman"/>
                <w:sz w:val="16"/>
              </w:rPr>
            </w:pPr>
            <w:r>
              <w:rPr>
                <w:rFonts w:ascii="Times New Roman" w:hAnsi="Times New Roman"/>
                <w:sz w:val="16"/>
              </w:rPr>
              <w:t>Classification Code Number</w:t>
            </w:r>
          </w:p>
          <w:p>
            <w:pPr>
              <w:pStyle w:val="TableContents"/>
              <w:bidi w:val="0"/>
              <w:spacing w:before="0" w:after="20"/>
              <w:jc w:val="center"/>
              <w:rPr>
                <w:rFonts w:ascii="Times New Roman" w:hAnsi="Times New Roman"/>
                <w:sz w:val="16"/>
              </w:rPr>
            </w:pPr>
            <w:r>
              <w:rPr>
                <w:rFonts w:ascii="Times New Roman" w:hAnsi="Times New Roman"/>
                <w:sz w:val="16"/>
              </w:rPr>
              <w:t>(if applicable))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sz w:val="16"/>
              </w:rPr>
            </w:pPr>
            <w:r>
              <w:rPr>
                <w:rFonts w:ascii="Times New Roman" w:hAnsi="Times New Roman"/>
                <w:sz w:val="16"/>
              </w:rPr>
              <w:t>(I.R.S. Employer Identification</w:t>
            </w:r>
          </w:p>
          <w:p>
            <w:pPr>
              <w:pStyle w:val="TableContents"/>
              <w:bidi w:val="0"/>
              <w:spacing w:before="0" w:after="20"/>
              <w:jc w:val="center"/>
              <w:rPr>
                <w:rFonts w:ascii="Times New Roman" w:hAnsi="Times New Roman"/>
                <w:sz w:val="16"/>
              </w:rPr>
            </w:pPr>
            <w:r>
              <w:rPr>
                <w:rFonts w:ascii="Times New Roman" w:hAnsi="Times New Roman"/>
                <w:sz w:val="16"/>
              </w:rPr>
              <w:t>Number (if applicable))</w:t>
            </w:r>
          </w:p>
        </w:tc>
      </w:tr>
    </w:tbl>
    <w:p>
      <w:pPr>
        <w:pStyle w:val="TextBody"/>
        <w:bidi w:val="0"/>
        <w:spacing w:before="60" w:after="0"/>
        <w:jc w:val="center"/>
        <w:rPr>
          <w:rFonts w:ascii="Times New Roman" w:hAnsi="Times New Roman"/>
          <w:b/>
          <w:sz w:val="16"/>
        </w:rPr>
      </w:pPr>
      <w:r>
        <w:rPr>
          <w:rFonts w:ascii="Times New Roman" w:hAnsi="Times New Roman"/>
          <w:b/>
          <w:sz w:val="16"/>
        </w:rPr>
        <w:t xml:space="preserve">2198 Yukon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Vancouver, British Columbia </w:t>
      </w:r>
    </w:p>
    <w:p>
      <w:pPr>
        <w:pStyle w:val="TextBody"/>
        <w:bidi w:val="0"/>
        <w:spacing w:before="0" w:after="0"/>
        <w:jc w:val="center"/>
        <w:rPr>
          <w:rFonts w:ascii="Times New Roman" w:hAnsi="Times New Roman"/>
          <w:b/>
          <w:sz w:val="16"/>
        </w:rPr>
      </w:pPr>
      <w:r>
        <w:rPr>
          <w:rFonts w:ascii="Times New Roman" w:hAnsi="Times New Roman"/>
          <w:b/>
          <w:sz w:val="16"/>
        </w:rPr>
        <w:t xml:space="preserve">V5Y 3P1 </w:t>
      </w:r>
    </w:p>
    <w:p>
      <w:pPr>
        <w:pStyle w:val="TextBody"/>
        <w:bidi w:val="0"/>
        <w:spacing w:before="0" w:after="0"/>
        <w:jc w:val="center"/>
        <w:rPr>
          <w:rFonts w:ascii="Times New Roman" w:hAnsi="Times New Roman"/>
          <w:b/>
          <w:sz w:val="16"/>
        </w:rPr>
      </w:pPr>
      <w:r>
        <w:rPr>
          <w:rFonts w:ascii="Times New Roman" w:hAnsi="Times New Roman"/>
          <w:b/>
          <w:sz w:val="16"/>
        </w:rPr>
        <w:t xml:space="preserve">Canada </w:t>
      </w:r>
    </w:p>
    <w:p>
      <w:pPr>
        <w:pStyle w:val="TextBody"/>
        <w:bidi w:val="0"/>
        <w:spacing w:before="0" w:after="0"/>
        <w:jc w:val="center"/>
        <w:rPr>
          <w:rFonts w:ascii="Times New Roman" w:hAnsi="Times New Roman"/>
          <w:b/>
          <w:sz w:val="16"/>
        </w:rPr>
      </w:pPr>
      <w:r>
        <w:rPr>
          <w:rFonts w:ascii="Times New Roman" w:hAnsi="Times New Roman"/>
          <w:b/>
          <w:sz w:val="16"/>
        </w:rPr>
        <w:t xml:space="preserve">(250) 590-3968 </w:t>
      </w:r>
    </w:p>
    <w:p>
      <w:pPr>
        <w:pStyle w:val="TextBody"/>
        <w:bidi w:val="0"/>
        <w:spacing w:before="0" w:after="0"/>
        <w:jc w:val="center"/>
        <w:rPr>
          <w:rFonts w:ascii="Times New Roman" w:hAnsi="Times New Roman"/>
          <w:sz w:val="16"/>
        </w:rPr>
      </w:pPr>
      <w:r>
        <w:rPr>
          <w:rFonts w:ascii="Times New Roman" w:hAnsi="Times New Roman"/>
          <w:sz w:val="16"/>
        </w:rPr>
        <w:t xml:space="preserve">(Address and telephone number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6"/>
        </w:rPr>
      </w:pPr>
      <w:r>
        <w:rPr>
          <w:rFonts w:ascii="Times New Roman" w:hAnsi="Times New Roman"/>
          <w:b/>
          <w:sz w:val="16"/>
        </w:rPr>
        <w:t xml:space="preserve">C T Corporation System </w:t>
      </w:r>
    </w:p>
    <w:p>
      <w:pPr>
        <w:pStyle w:val="TextBody"/>
        <w:bidi w:val="0"/>
        <w:spacing w:before="0" w:after="0"/>
        <w:jc w:val="center"/>
        <w:rPr>
          <w:rFonts w:ascii="Times New Roman" w:hAnsi="Times New Roman"/>
          <w:b/>
          <w:sz w:val="16"/>
        </w:rPr>
      </w:pPr>
      <w:r>
        <w:rPr>
          <w:rFonts w:ascii="Times New Roman" w:hAnsi="Times New Roman"/>
          <w:b/>
          <w:sz w:val="16"/>
        </w:rPr>
        <w:t xml:space="preserve">28 Liberty Street </w:t>
      </w:r>
    </w:p>
    <w:p>
      <w:pPr>
        <w:pStyle w:val="TextBody"/>
        <w:bidi w:val="0"/>
        <w:spacing w:before="0" w:after="0"/>
        <w:jc w:val="center"/>
        <w:rPr>
          <w:rFonts w:ascii="Times New Roman" w:hAnsi="Times New Roman"/>
          <w:b/>
          <w:sz w:val="16"/>
        </w:rPr>
      </w:pPr>
      <w:r>
        <w:rPr>
          <w:rFonts w:ascii="Times New Roman" w:hAnsi="Times New Roman"/>
          <w:b/>
          <w:sz w:val="16"/>
        </w:rPr>
        <w:t xml:space="preserve">New York, NY 10005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(212) 894-8940 </w:t>
      </w:r>
    </w:p>
    <w:p>
      <w:pPr>
        <w:pStyle w:val="TextBody"/>
        <w:bidi w:val="0"/>
        <w:spacing w:before="0" w:after="0"/>
        <w:jc w:val="center"/>
        <w:rPr>
          <w:rFonts w:ascii="Times New Roman" w:hAnsi="Times New Roman"/>
          <w:sz w:val="16"/>
        </w:rPr>
      </w:pPr>
      <w:r>
        <w:rPr>
          <w:rFonts w:ascii="Times New Roman" w:hAnsi="Times New Roman"/>
          <w:sz w:val="16"/>
        </w:rPr>
        <w:t xml:space="preserve">(Name, address (including zip code) and telephone number (including area code) </w:t>
      </w:r>
    </w:p>
    <w:p>
      <w:pPr>
        <w:pStyle w:val="TextBody"/>
        <w:bidi w:val="0"/>
        <w:spacing w:before="0" w:after="0"/>
        <w:jc w:val="center"/>
        <w:rPr>
          <w:rFonts w:ascii="Times New Roman" w:hAnsi="Times New Roman"/>
          <w:sz w:val="16"/>
        </w:rPr>
      </w:pPr>
      <w:r>
        <w:rPr>
          <w:rFonts w:ascii="Times New Roman" w:hAnsi="Times New Roman"/>
          <w:sz w:val="16"/>
        </w:rPr>
        <w:t xml:space="preserve">of agent for service in the United States)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6"/>
        <w:gridCol w:w="123"/>
        <w:gridCol w:w="3310"/>
        <w:gridCol w:w="123"/>
        <w:gridCol w:w="3143"/>
      </w:tblGrid>
      <w:tr>
        <w:trPr/>
        <w:tc>
          <w:tcPr>
            <w:tcW w:w="35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31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43" w:type="dxa"/>
            <w:tcBorders/>
            <w:vAlign w:val="center"/>
          </w:tcPr>
          <w:p>
            <w:pPr>
              <w:pStyle w:val="TableContents"/>
              <w:bidi w:val="0"/>
              <w:spacing w:before="0" w:after="283"/>
              <w:jc w:val="left"/>
              <w:rPr>
                <w:sz w:val="4"/>
                <w:szCs w:val="4"/>
              </w:rPr>
            </w:pPr>
            <w:r>
              <w:rPr>
                <w:sz w:val="4"/>
                <w:szCs w:val="4"/>
              </w:rPr>
            </w:r>
          </w:p>
        </w:tc>
      </w:tr>
      <w:tr>
        <w:trPr/>
        <w:tc>
          <w:tcPr>
            <w:tcW w:w="3506" w:type="dxa"/>
            <w:tcBorders/>
          </w:tcPr>
          <w:p>
            <w:pPr>
              <w:pStyle w:val="TableContents"/>
              <w:bidi w:val="0"/>
              <w:spacing w:before="0" w:after="0"/>
              <w:jc w:val="center"/>
              <w:rPr>
                <w:rFonts w:ascii="Times New Roman" w:hAnsi="Times New Roman"/>
                <w:b/>
                <w:sz w:val="16"/>
              </w:rPr>
            </w:pPr>
            <w:r>
              <w:rPr>
                <w:rFonts w:ascii="Times New Roman" w:hAnsi="Times New Roman"/>
                <w:b/>
                <w:sz w:val="16"/>
              </w:rPr>
              <w:t>Thomas M. Rose</w:t>
            </w:r>
          </w:p>
          <w:p>
            <w:pPr>
              <w:pStyle w:val="TableContents"/>
              <w:bidi w:val="0"/>
              <w:spacing w:before="0" w:after="0"/>
              <w:jc w:val="center"/>
              <w:rPr>
                <w:rFonts w:ascii="Times New Roman" w:hAnsi="Times New Roman"/>
                <w:b/>
                <w:sz w:val="16"/>
              </w:rPr>
            </w:pPr>
            <w:r>
              <w:rPr>
                <w:rFonts w:ascii="Times New Roman" w:hAnsi="Times New Roman"/>
                <w:b/>
                <w:sz w:val="16"/>
              </w:rPr>
              <w:t>Shona Smith</w:t>
            </w:r>
          </w:p>
          <w:p>
            <w:pPr>
              <w:pStyle w:val="TableContents"/>
              <w:bidi w:val="0"/>
              <w:spacing w:before="0" w:after="0"/>
              <w:jc w:val="center"/>
              <w:rPr>
                <w:rFonts w:ascii="Times New Roman" w:hAnsi="Times New Roman"/>
                <w:b/>
                <w:sz w:val="16"/>
              </w:rPr>
            </w:pPr>
            <w:r>
              <w:rPr>
                <w:rFonts w:ascii="Times New Roman" w:hAnsi="Times New Roman"/>
                <w:b/>
                <w:sz w:val="16"/>
              </w:rPr>
              <w:t>Troutman Pepper Locke LLP</w:t>
            </w:r>
          </w:p>
          <w:p>
            <w:pPr>
              <w:pStyle w:val="TableContents"/>
              <w:bidi w:val="0"/>
              <w:spacing w:before="0" w:after="0"/>
              <w:jc w:val="center"/>
              <w:rPr>
                <w:rFonts w:ascii="Times New Roman" w:hAnsi="Times New Roman"/>
                <w:b/>
                <w:sz w:val="16"/>
              </w:rPr>
            </w:pPr>
            <w:r>
              <w:rPr>
                <w:rFonts w:ascii="Times New Roman" w:hAnsi="Times New Roman"/>
                <w:b/>
                <w:sz w:val="16"/>
              </w:rPr>
              <w:t>111 Huntington Avenue</w:t>
            </w:r>
          </w:p>
          <w:p>
            <w:pPr>
              <w:pStyle w:val="TableContents"/>
              <w:bidi w:val="0"/>
              <w:spacing w:before="0" w:after="0"/>
              <w:jc w:val="center"/>
              <w:rPr>
                <w:rFonts w:ascii="Times New Roman" w:hAnsi="Times New Roman"/>
                <w:b/>
                <w:sz w:val="16"/>
              </w:rPr>
            </w:pPr>
            <w:r>
              <w:rPr>
                <w:rFonts w:ascii="Times New Roman" w:hAnsi="Times New Roman"/>
                <w:b/>
                <w:sz w:val="16"/>
              </w:rPr>
              <w:t>9th Floor</w:t>
            </w:r>
          </w:p>
          <w:p>
            <w:pPr>
              <w:pStyle w:val="TableContents"/>
              <w:bidi w:val="0"/>
              <w:spacing w:before="0" w:after="0"/>
              <w:jc w:val="center"/>
              <w:rPr>
                <w:rFonts w:ascii="Times New Roman" w:hAnsi="Times New Roman"/>
                <w:b/>
                <w:sz w:val="16"/>
              </w:rPr>
            </w:pPr>
            <w:r>
              <w:rPr>
                <w:rFonts w:ascii="Times New Roman" w:hAnsi="Times New Roman"/>
                <w:b/>
                <w:sz w:val="16"/>
              </w:rPr>
              <w:t>Boston, Massachusetts 02199-7613</w:t>
            </w:r>
          </w:p>
          <w:p>
            <w:pPr>
              <w:pStyle w:val="TableContents"/>
              <w:bidi w:val="0"/>
              <w:spacing w:before="0" w:after="0"/>
              <w:jc w:val="center"/>
              <w:rPr>
                <w:rFonts w:ascii="Times New Roman" w:hAnsi="Times New Roman"/>
                <w:b/>
                <w:sz w:val="16"/>
              </w:rPr>
            </w:pPr>
            <w:r>
              <w:rPr>
                <w:rFonts w:ascii="Times New Roman" w:hAnsi="Times New Roman"/>
                <w:b/>
                <w:sz w:val="16"/>
              </w:rPr>
              <w:t>United States</w:t>
            </w:r>
          </w:p>
          <w:p>
            <w:pPr>
              <w:pStyle w:val="TableContents"/>
              <w:bidi w:val="0"/>
              <w:spacing w:before="0" w:after="20"/>
              <w:jc w:val="center"/>
              <w:rPr>
                <w:rFonts w:ascii="Times New Roman" w:hAnsi="Times New Roman"/>
                <w:b/>
                <w:sz w:val="16"/>
              </w:rPr>
            </w:pPr>
            <w:r>
              <w:rPr>
                <w:rFonts w:ascii="Times New Roman" w:hAnsi="Times New Roman"/>
                <w:b/>
                <w:sz w:val="16"/>
              </w:rPr>
              <w:t>Telephone: (757) 687-7715</w:t>
            </w:r>
          </w:p>
        </w:tc>
        <w:tc>
          <w:tcPr>
            <w:tcW w:w="123" w:type="dxa"/>
            <w:tcBorders/>
            <w:vAlign w:val="bottom"/>
          </w:tcPr>
          <w:p>
            <w:pPr>
              <w:pStyle w:val="TableContents"/>
              <w:bidi w:val="0"/>
              <w:spacing w:before="0" w:after="283"/>
              <w:jc w:val="left"/>
              <w:rPr/>
            </w:pPr>
            <w:r>
              <w:rPr/>
              <w:t>  </w:t>
            </w:r>
          </w:p>
        </w:tc>
        <w:tc>
          <w:tcPr>
            <w:tcW w:w="3310" w:type="dxa"/>
            <w:tcBorders/>
          </w:tcPr>
          <w:p>
            <w:pPr>
              <w:pStyle w:val="TableContents"/>
              <w:bidi w:val="0"/>
              <w:spacing w:before="0" w:after="0"/>
              <w:jc w:val="center"/>
              <w:rPr>
                <w:rFonts w:ascii="Times New Roman" w:hAnsi="Times New Roman"/>
                <w:b/>
                <w:sz w:val="16"/>
              </w:rPr>
            </w:pPr>
            <w:r>
              <w:rPr>
                <w:rFonts w:ascii="Times New Roman" w:hAnsi="Times New Roman"/>
                <w:b/>
                <w:sz w:val="16"/>
              </w:rPr>
              <w:t>James A. Helliwell</w:t>
            </w:r>
          </w:p>
          <w:p>
            <w:pPr>
              <w:pStyle w:val="TableContents"/>
              <w:bidi w:val="0"/>
              <w:spacing w:before="0" w:after="0"/>
              <w:jc w:val="center"/>
              <w:rPr>
                <w:rFonts w:ascii="Times New Roman" w:hAnsi="Times New Roman"/>
                <w:b/>
                <w:sz w:val="16"/>
              </w:rPr>
            </w:pPr>
            <w:r>
              <w:rPr>
                <w:rFonts w:ascii="Times New Roman" w:hAnsi="Times New Roman"/>
                <w:b/>
                <w:sz w:val="16"/>
              </w:rPr>
              <w:t>Chief Executive Officer</w:t>
            </w:r>
          </w:p>
          <w:p>
            <w:pPr>
              <w:pStyle w:val="TableContents"/>
              <w:bidi w:val="0"/>
              <w:spacing w:before="0" w:after="0"/>
              <w:jc w:val="center"/>
              <w:rPr>
                <w:rFonts w:ascii="Times New Roman" w:hAnsi="Times New Roman"/>
                <w:b/>
                <w:sz w:val="16"/>
              </w:rPr>
            </w:pPr>
            <w:r>
              <w:rPr>
                <w:rFonts w:ascii="Times New Roman" w:hAnsi="Times New Roman"/>
                <w:b/>
                <w:sz w:val="16"/>
              </w:rPr>
              <w:t>Eupraxia Pharmaceuticals Inc.</w:t>
            </w:r>
          </w:p>
          <w:p>
            <w:pPr>
              <w:pStyle w:val="TableContents"/>
              <w:bidi w:val="0"/>
              <w:spacing w:before="0" w:after="0"/>
              <w:jc w:val="center"/>
              <w:rPr>
                <w:rFonts w:ascii="Times New Roman" w:hAnsi="Times New Roman"/>
                <w:b/>
                <w:sz w:val="16"/>
              </w:rPr>
            </w:pPr>
            <w:r>
              <w:rPr>
                <w:rFonts w:ascii="Times New Roman" w:hAnsi="Times New Roman"/>
                <w:b/>
                <w:sz w:val="16"/>
              </w:rPr>
              <w:t>2198 Yukon Street</w:t>
            </w:r>
          </w:p>
          <w:p>
            <w:pPr>
              <w:pStyle w:val="TableContents"/>
              <w:bidi w:val="0"/>
              <w:spacing w:before="0" w:after="0"/>
              <w:jc w:val="center"/>
              <w:rPr>
                <w:rFonts w:ascii="Times New Roman" w:hAnsi="Times New Roman"/>
                <w:b/>
                <w:sz w:val="16"/>
              </w:rPr>
            </w:pPr>
            <w:r>
              <w:rPr>
                <w:rFonts w:ascii="Times New Roman" w:hAnsi="Times New Roman"/>
                <w:b/>
                <w:sz w:val="16"/>
              </w:rPr>
              <w:t>Vancouver, British Columbia</w:t>
            </w:r>
          </w:p>
          <w:p>
            <w:pPr>
              <w:pStyle w:val="TableContents"/>
              <w:bidi w:val="0"/>
              <w:spacing w:before="0" w:after="0"/>
              <w:jc w:val="center"/>
              <w:rPr>
                <w:rFonts w:ascii="Times New Roman" w:hAnsi="Times New Roman"/>
                <w:b/>
                <w:sz w:val="16"/>
              </w:rPr>
            </w:pPr>
            <w:r>
              <w:rPr>
                <w:rFonts w:ascii="Times New Roman" w:hAnsi="Times New Roman"/>
                <w:b/>
                <w:sz w:val="16"/>
              </w:rPr>
              <w:t>Canada</w:t>
            </w:r>
          </w:p>
          <w:p>
            <w:pPr>
              <w:pStyle w:val="TableContents"/>
              <w:bidi w:val="0"/>
              <w:spacing w:before="0" w:after="0"/>
              <w:jc w:val="center"/>
              <w:rPr>
                <w:rFonts w:ascii="Times New Roman" w:hAnsi="Times New Roman"/>
                <w:b/>
                <w:sz w:val="16"/>
              </w:rPr>
            </w:pPr>
            <w:r>
              <w:rPr>
                <w:rFonts w:ascii="Times New Roman" w:hAnsi="Times New Roman"/>
                <w:b/>
                <w:sz w:val="16"/>
              </w:rPr>
              <w:t>V5Y 3P1</w:t>
            </w:r>
          </w:p>
          <w:p>
            <w:pPr>
              <w:pStyle w:val="TableContents"/>
              <w:bidi w:val="0"/>
              <w:spacing w:before="0" w:after="20"/>
              <w:jc w:val="center"/>
              <w:rPr>
                <w:rFonts w:ascii="Times New Roman" w:hAnsi="Times New Roman"/>
                <w:b/>
                <w:sz w:val="16"/>
              </w:rPr>
            </w:pPr>
            <w:r>
              <w:rPr>
                <w:rFonts w:ascii="Times New Roman" w:hAnsi="Times New Roman"/>
                <w:b/>
                <w:sz w:val="16"/>
              </w:rPr>
              <w:t>Telephone: (250) 590-3968</w:t>
            </w:r>
          </w:p>
        </w:tc>
        <w:tc>
          <w:tcPr>
            <w:tcW w:w="123" w:type="dxa"/>
            <w:tcBorders/>
            <w:vAlign w:val="bottom"/>
          </w:tcPr>
          <w:p>
            <w:pPr>
              <w:pStyle w:val="TableContents"/>
              <w:bidi w:val="0"/>
              <w:spacing w:before="0" w:after="283"/>
              <w:jc w:val="left"/>
              <w:rPr/>
            </w:pPr>
            <w:r>
              <w:rPr/>
              <w:t>  </w:t>
            </w:r>
          </w:p>
        </w:tc>
        <w:tc>
          <w:tcPr>
            <w:tcW w:w="3143" w:type="dxa"/>
            <w:tcBorders/>
          </w:tcPr>
          <w:p>
            <w:pPr>
              <w:pStyle w:val="TableContents"/>
              <w:bidi w:val="0"/>
              <w:spacing w:before="0" w:after="0"/>
              <w:jc w:val="center"/>
              <w:rPr>
                <w:rFonts w:ascii="Times New Roman" w:hAnsi="Times New Roman"/>
                <w:b/>
                <w:sz w:val="16"/>
              </w:rPr>
            </w:pPr>
            <w:r>
              <w:rPr>
                <w:rFonts w:ascii="Times New Roman" w:hAnsi="Times New Roman"/>
                <w:b/>
                <w:sz w:val="16"/>
              </w:rPr>
              <w:t>Joseph A. Garcia, Esq.</w:t>
            </w:r>
          </w:p>
          <w:p>
            <w:pPr>
              <w:pStyle w:val="TableContents"/>
              <w:bidi w:val="0"/>
              <w:spacing w:before="0" w:after="0"/>
              <w:jc w:val="center"/>
              <w:rPr>
                <w:rFonts w:ascii="Times New Roman" w:hAnsi="Times New Roman"/>
                <w:b/>
                <w:sz w:val="16"/>
              </w:rPr>
            </w:pPr>
            <w:r>
              <w:rPr>
                <w:rFonts w:ascii="Times New Roman" w:hAnsi="Times New Roman"/>
                <w:b/>
                <w:sz w:val="16"/>
              </w:rPr>
              <w:t>Michelle Noorani, Esq.</w:t>
            </w:r>
          </w:p>
          <w:p>
            <w:pPr>
              <w:pStyle w:val="TableContents"/>
              <w:bidi w:val="0"/>
              <w:spacing w:before="0" w:after="0"/>
              <w:jc w:val="center"/>
              <w:rPr>
                <w:rFonts w:ascii="Times New Roman" w:hAnsi="Times New Roman"/>
                <w:b/>
                <w:sz w:val="16"/>
              </w:rPr>
            </w:pPr>
            <w:r>
              <w:rPr>
                <w:rFonts w:ascii="Times New Roman" w:hAnsi="Times New Roman"/>
                <w:b/>
                <w:sz w:val="16"/>
              </w:rPr>
              <w:t>Blake, Cassels &amp; Graydon LLP</w:t>
            </w:r>
          </w:p>
          <w:p>
            <w:pPr>
              <w:pStyle w:val="TableContents"/>
              <w:bidi w:val="0"/>
              <w:spacing w:before="0" w:after="0"/>
              <w:jc w:val="center"/>
              <w:rPr>
                <w:rFonts w:ascii="Times New Roman" w:hAnsi="Times New Roman"/>
                <w:b/>
                <w:sz w:val="16"/>
              </w:rPr>
            </w:pPr>
            <w:r>
              <w:rPr>
                <w:rFonts w:ascii="Times New Roman" w:hAnsi="Times New Roman"/>
                <w:b/>
                <w:sz w:val="16"/>
              </w:rPr>
              <w:t>1133 Melville Street, Suite 3500</w:t>
            </w:r>
          </w:p>
          <w:p>
            <w:pPr>
              <w:pStyle w:val="TableContents"/>
              <w:bidi w:val="0"/>
              <w:spacing w:before="0" w:after="0"/>
              <w:jc w:val="center"/>
              <w:rPr>
                <w:rFonts w:ascii="Times New Roman" w:hAnsi="Times New Roman"/>
                <w:b/>
                <w:sz w:val="16"/>
              </w:rPr>
            </w:pPr>
            <w:r>
              <w:rPr>
                <w:rFonts w:ascii="Times New Roman" w:hAnsi="Times New Roman"/>
                <w:b/>
                <w:sz w:val="16"/>
              </w:rPr>
              <w:t>Vancouver, BC V6E 4E5</w:t>
            </w:r>
          </w:p>
          <w:p>
            <w:pPr>
              <w:pStyle w:val="TableContents"/>
              <w:bidi w:val="0"/>
              <w:spacing w:before="0" w:after="0"/>
              <w:jc w:val="center"/>
              <w:rPr>
                <w:rFonts w:ascii="Times New Roman" w:hAnsi="Times New Roman"/>
                <w:b/>
                <w:sz w:val="16"/>
              </w:rPr>
            </w:pPr>
            <w:r>
              <w:rPr>
                <w:rFonts w:ascii="Times New Roman" w:hAnsi="Times New Roman"/>
                <w:b/>
                <w:sz w:val="16"/>
              </w:rPr>
              <w:t>Canada</w:t>
            </w:r>
          </w:p>
          <w:p>
            <w:pPr>
              <w:pStyle w:val="TableContents"/>
              <w:bidi w:val="0"/>
              <w:spacing w:before="0" w:after="20"/>
              <w:jc w:val="center"/>
              <w:rPr>
                <w:rFonts w:ascii="Times New Roman" w:hAnsi="Times New Roman"/>
                <w:b/>
                <w:sz w:val="16"/>
              </w:rPr>
            </w:pPr>
            <w:r>
              <w:rPr>
                <w:rFonts w:ascii="Times New Roman" w:hAnsi="Times New Roman"/>
                <w:b/>
                <w:sz w:val="16"/>
              </w:rPr>
              <w:t>Telephone: (604) 631-3300</w:t>
            </w:r>
          </w:p>
        </w:tc>
      </w:tr>
    </w:tbl>
    <w:p>
      <w:pPr>
        <w:pStyle w:val="TextBody"/>
        <w:bidi w:val="0"/>
        <w:spacing w:before="60" w:after="0"/>
        <w:jc w:val="center"/>
        <w:rPr>
          <w:rFonts w:ascii="Times New Roman" w:hAnsi="Times New Roman"/>
          <w:b/>
          <w:sz w:val="16"/>
        </w:rPr>
      </w:pPr>
      <w:r>
        <w:rPr>
          <w:rFonts w:ascii="Times New Roman" w:hAnsi="Times New Roman"/>
          <w:b/>
          <w:sz w:val="16"/>
          <w:u w:val="single"/>
        </w:rPr>
        <w:t>Approximate date of commencement of proposed sale of the securities to the public</w:t>
      </w:r>
      <w:r>
        <w:rPr>
          <w:rFonts w:ascii="Times New Roman" w:hAnsi="Times New Roman"/>
          <w:b/>
          <w:sz w:val="16"/>
        </w:rPr>
        <w:t>:</w:t>
      </w:r>
    </w:p>
    <w:p>
      <w:pPr>
        <w:pStyle w:val="TextBody"/>
        <w:bidi w:val="0"/>
        <w:spacing w:before="0" w:after="0"/>
        <w:jc w:val="center"/>
        <w:rPr>
          <w:rFonts w:ascii="Times New Roman" w:hAnsi="Times New Roman"/>
          <w:sz w:val="16"/>
        </w:rPr>
      </w:pPr>
      <w:r>
        <w:rPr>
          <w:rFonts w:ascii="Times New Roman" w:hAnsi="Times New Roman"/>
          <w:sz w:val="16"/>
        </w:rPr>
        <w:t xml:space="preserve">From time to time after the effective date of this registration statement. </w:t>
      </w:r>
    </w:p>
    <w:p>
      <w:pPr>
        <w:pStyle w:val="TextBody"/>
        <w:bidi w:val="0"/>
        <w:spacing w:before="60" w:after="0"/>
        <w:jc w:val="center"/>
        <w:rPr>
          <w:rFonts w:ascii="Times New Roman" w:hAnsi="Times New Roman"/>
          <w:b/>
          <w:sz w:val="16"/>
          <w:u w:val="single"/>
        </w:rPr>
      </w:pPr>
      <w:r>
        <w:rPr>
          <w:rFonts w:ascii="Times New Roman" w:hAnsi="Times New Roman"/>
          <w:b/>
          <w:sz w:val="16"/>
          <w:u w:val="single"/>
        </w:rPr>
        <w:t xml:space="preserve">Province of British Columbia, Canada </w:t>
      </w:r>
    </w:p>
    <w:p>
      <w:pPr>
        <w:pStyle w:val="TextBody"/>
        <w:bidi w:val="0"/>
        <w:spacing w:before="0" w:after="0"/>
        <w:jc w:val="center"/>
        <w:rPr>
          <w:rFonts w:ascii="Times New Roman" w:hAnsi="Times New Roman"/>
          <w:sz w:val="16"/>
        </w:rPr>
      </w:pPr>
      <w:r>
        <w:rPr>
          <w:rFonts w:ascii="Times New Roman" w:hAnsi="Times New Roman"/>
          <w:sz w:val="16"/>
        </w:rPr>
        <w:t xml:space="preserve">(Principal jurisdiction regulating this offering (if applicable))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6"/>
        </w:rPr>
      </w:pPr>
      <w:r>
        <w:rPr>
          <w:rFonts w:ascii="Times New Roman" w:hAnsi="Times New Roman"/>
          <w:sz w:val="16"/>
        </w:rPr>
        <w:t xml:space="preserve">It is proposed that this filing shall become effective (check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
        <w:gridCol w:w="226"/>
        <w:gridCol w:w="259"/>
        <w:gridCol w:w="226"/>
        <w:gridCol w:w="259"/>
        <w:gridCol w:w="416"/>
        <w:gridCol w:w="8551"/>
      </w:tblGrid>
      <w:tr>
        <w:trPr/>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8551" w:type="dxa"/>
            <w:tcBorders/>
            <w:vAlign w:val="center"/>
          </w:tcPr>
          <w:p>
            <w:pPr>
              <w:pStyle w:val="TableContents"/>
              <w:bidi w:val="0"/>
              <w:spacing w:before="0" w:after="283"/>
              <w:jc w:val="left"/>
              <w:rPr>
                <w:sz w:val="4"/>
                <w:szCs w:val="4"/>
              </w:rPr>
            </w:pPr>
            <w:r>
              <w:rPr>
                <w:sz w:val="4"/>
                <w:szCs w:val="4"/>
              </w:rPr>
            </w:r>
          </w:p>
        </w:tc>
      </w:tr>
      <w:tr>
        <w:trPr/>
        <w:tc>
          <w:tcPr>
            <w:tcW w:w="268" w:type="dxa"/>
            <w:tcBorders/>
          </w:tcPr>
          <w:p>
            <w:pPr>
              <w:pStyle w:val="TableContents"/>
              <w:bidi w:val="0"/>
              <w:spacing w:before="0" w:after="283"/>
              <w:jc w:val="center"/>
              <w:rPr/>
            </w:pPr>
            <w:r>
              <w:rPr/>
              <w:t>A.</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9226" w:type="dxa"/>
            <w:gridSpan w:val="3"/>
            <w:tcBorders/>
          </w:tcPr>
          <w:p>
            <w:pPr>
              <w:pStyle w:val="TableContents"/>
              <w:bidi w:val="0"/>
              <w:spacing w:before="0" w:after="283"/>
              <w:jc w:val="left"/>
              <w:rPr/>
            </w:pPr>
            <w:r>
              <w:rPr/>
              <w:t>upon filing with the SEC, pursuant to Rule 467(a) (if in connection with an offering being made contemporaneously in the United States and Canada).</w:t>
            </w:r>
          </w:p>
        </w:tc>
      </w:tr>
      <w:tr>
        <w:trPr/>
        <w:tc>
          <w:tcPr>
            <w:tcW w:w="268" w:type="dxa"/>
            <w:tcBorders/>
          </w:tcPr>
          <w:p>
            <w:pPr>
              <w:pStyle w:val="TableContents"/>
              <w:bidi w:val="0"/>
              <w:spacing w:before="0" w:after="283"/>
              <w:jc w:val="center"/>
              <w:rPr/>
            </w:pPr>
            <w:r>
              <w:rPr/>
              <w:t>B.</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226" w:type="dxa"/>
            <w:tcBorders/>
            <w:vAlign w:val="bottom"/>
          </w:tcPr>
          <w:p>
            <w:pPr>
              <w:pStyle w:val="TableContents"/>
              <w:bidi w:val="0"/>
              <w:spacing w:before="0" w:after="283"/>
              <w:jc w:val="left"/>
              <w:rPr/>
            </w:pPr>
            <w:r>
              <w:rPr/>
              <w:t>  </w:t>
            </w:r>
          </w:p>
        </w:tc>
        <w:tc>
          <w:tcPr>
            <w:tcW w:w="9226" w:type="dxa"/>
            <w:gridSpan w:val="3"/>
            <w:tcBorders/>
          </w:tcPr>
          <w:p>
            <w:pPr>
              <w:pStyle w:val="TableContents"/>
              <w:bidi w:val="0"/>
              <w:spacing w:before="0" w:after="283"/>
              <w:jc w:val="left"/>
              <w:rPr/>
            </w:pPr>
            <w:r>
              <w:rPr/>
              <w:t>at some future date (check appropriate box below)</w:t>
            </w:r>
          </w:p>
        </w:tc>
      </w:tr>
      <w:tr>
        <w:trPr/>
        <w:tc>
          <w:tcPr>
            <w:tcW w:w="268"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1.</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416"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pursuant to Rule 467(b) on (</w:t>
            </w:r>
            <w:r>
              <w:rPr>
                <w:i/>
              </w:rPr>
              <w:t>date</w:t>
            </w:r>
            <w:r>
              <w:rPr/>
              <w:t>) at (</w:t>
            </w:r>
            <w:r>
              <w:rPr>
                <w:i/>
              </w:rPr>
              <w:t>time</w:t>
            </w:r>
            <w:r>
              <w:rPr/>
              <w:t>) (designate a time not sooner than 7 calendar days after filing).</w:t>
            </w:r>
          </w:p>
        </w:tc>
      </w:tr>
      <w:tr>
        <w:trPr/>
        <w:tc>
          <w:tcPr>
            <w:tcW w:w="268"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2.</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416"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pursuant to Rule 467(b) on (</w:t>
            </w:r>
            <w:r>
              <w:rPr>
                <w:i/>
              </w:rPr>
              <w:t>date</w:t>
            </w:r>
            <w:r>
              <w:rPr/>
              <w:t>) at (</w:t>
            </w:r>
            <w:r>
              <w:rPr>
                <w:i/>
              </w:rPr>
              <w:t>time</w:t>
            </w:r>
            <w:r>
              <w:rPr/>
              <w:t>) (designate a time 7 calendar days or sooner after filing) because the securities regulatory authority in the review jurisdiction has issued a receipt or notification of clearance on (</w:t>
            </w:r>
            <w:r>
              <w:rPr>
                <w:i/>
              </w:rPr>
              <w:t>date</w:t>
            </w:r>
            <w:r>
              <w:rPr/>
              <w:t>).</w:t>
            </w:r>
          </w:p>
        </w:tc>
      </w:tr>
      <w:tr>
        <w:trPr/>
        <w:tc>
          <w:tcPr>
            <w:tcW w:w="268"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3.</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416"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pursuant to Rule 467(b) as soon as practicable after notification of the SEC by the Registrant or the Canadian securities regulatory authority of the review jurisdiction that a receipt or notification of clearance has been issued with respect hereto.</w:t>
            </w:r>
          </w:p>
        </w:tc>
      </w:tr>
      <w:tr>
        <w:trPr/>
        <w:tc>
          <w:tcPr>
            <w:tcW w:w="268" w:type="dxa"/>
            <w:tcBorders/>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4.</w:t>
            </w:r>
          </w:p>
        </w:tc>
        <w:tc>
          <w:tcPr>
            <w:tcW w:w="226" w:type="dxa"/>
            <w:tcBorders/>
            <w:vAlign w:val="bottom"/>
          </w:tcPr>
          <w:p>
            <w:pPr>
              <w:pStyle w:val="TableContents"/>
              <w:bidi w:val="0"/>
              <w:spacing w:before="0" w:after="283"/>
              <w:jc w:val="left"/>
              <w:rPr/>
            </w:pPr>
            <w:r>
              <w:rPr/>
              <w:t>  </w:t>
            </w:r>
          </w:p>
        </w:tc>
        <w:tc>
          <w:tcPr>
            <w:tcW w:w="259" w:type="dxa"/>
            <w:tcBorders/>
          </w:tcPr>
          <w:p>
            <w:pPr>
              <w:pStyle w:val="TableContents"/>
              <w:bidi w:val="0"/>
              <w:spacing w:before="0" w:after="283"/>
              <w:jc w:val="center"/>
              <w:rPr/>
            </w:pPr>
            <w:r>
              <w:rPr/>
              <w:t>☒</w:t>
            </w:r>
          </w:p>
        </w:tc>
        <w:tc>
          <w:tcPr>
            <w:tcW w:w="416" w:type="dxa"/>
            <w:tcBorders/>
            <w:vAlign w:val="bottom"/>
          </w:tcPr>
          <w:p>
            <w:pPr>
              <w:pStyle w:val="TableContents"/>
              <w:bidi w:val="0"/>
              <w:spacing w:before="0" w:after="283"/>
              <w:jc w:val="left"/>
              <w:rPr/>
            </w:pPr>
            <w:r>
              <w:rPr/>
              <w:t>  </w:t>
            </w:r>
          </w:p>
        </w:tc>
        <w:tc>
          <w:tcPr>
            <w:tcW w:w="8551" w:type="dxa"/>
            <w:tcBorders/>
          </w:tcPr>
          <w:p>
            <w:pPr>
              <w:pStyle w:val="TableContents"/>
              <w:bidi w:val="0"/>
              <w:spacing w:before="0" w:after="283"/>
              <w:jc w:val="left"/>
              <w:rPr/>
            </w:pPr>
            <w:r>
              <w:rPr/>
              <w:t>after the filing of the next amendment to this Form (if preliminary material is being filed).</w:t>
            </w:r>
          </w:p>
        </w:tc>
      </w:tr>
    </w:tbl>
    <w:p>
      <w:pPr>
        <w:pStyle w:val="TextBody"/>
        <w:bidi w:val="0"/>
        <w:spacing w:before="6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the home jurisdiction’s shelf prospectus offering procedures, check the following box. ☒ </w:t>
      </w:r>
    </w:p>
    <w:p>
      <w:pPr>
        <w:pStyle w:val="TextBody"/>
        <w:bidi w:val="0"/>
        <w:spacing w:before="6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Registration Statement shall become effective as provided in Rule 467 under the Securities Act or on such date as the U.S. Securities and Exchange Commission (the “SEC”), acting pursuant to Section 8(a) of the Act,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TO BE DELIVERED TO OFFEREES OR PURCHASERS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olor w:val="FF4338"/>
          <w:sz w:val="20"/>
        </w:rPr>
      </w:pPr>
      <w:r>
        <w:rPr>
          <w:rFonts w:ascii="Times New Roman" w:hAnsi="Times New Roman"/>
          <w:b/>
          <w:i/>
          <w:color w:val="FF4338"/>
          <w:sz w:val="20"/>
        </w:rPr>
        <w:t xml:space="preserve">Information contained herein is subject to completion or amendment. A registration statement relating to these securities has been filed with the U.S. Securities and Exchange Commission. These securities may not be sold nor may offers to buy be accepted prior to the time the registration statement becomes effective. This preliminary short form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 </w:t>
      </w:r>
    </w:p>
    <w:p>
      <w:pPr>
        <w:pStyle w:val="TextBody"/>
        <w:bidi w:val="0"/>
        <w:spacing w:before="240" w:after="0"/>
        <w:jc w:val="left"/>
        <w:rPr>
          <w:rFonts w:ascii="Times New Roman" w:hAnsi="Times New Roman"/>
          <w:b/>
          <w:i/>
          <w:sz w:val="20"/>
        </w:rPr>
      </w:pPr>
      <w:r>
        <w:rPr>
          <w:rFonts w:ascii="Times New Roman" w:hAnsi="Times New Roman"/>
          <w:b/>
          <w:i/>
          <w:sz w:val="20"/>
        </w:rPr>
        <w:t xml:space="preserve">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Information has been incorporated by reference in this short form base shelf prospectus from documents filed with the securities commissions or similar authorities in each of the provinces and territories of Canada. Copies of the documents incorporated herein by reference may be obtained on request without charge from the secretary of the Company at 2198 Yukon Street, Vancouver, BC, V5Y 3P1 (Telephone (250) 590-3968) and are also available electronically at www.sedarplus.ca and www.sec.gov. </w:t>
      </w:r>
    </w:p>
    <w:p>
      <w:pPr>
        <w:pStyle w:val="TextBody"/>
        <w:bidi w:val="0"/>
        <w:spacing w:before="240" w:after="0"/>
        <w:jc w:val="center"/>
        <w:rPr>
          <w:rFonts w:ascii="Times New Roman" w:hAnsi="Times New Roman"/>
          <w:b/>
          <w:sz w:val="20"/>
        </w:rPr>
      </w:pPr>
      <w:r>
        <w:rPr>
          <w:rFonts w:ascii="Times New Roman" w:hAnsi="Times New Roman"/>
          <w:b/>
          <w:sz w:val="20"/>
        </w:rPr>
        <w:t xml:space="preserve">PRELIMINARY SHORT FORM BASE SHELF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b/>
                <w:u w:val="single"/>
              </w:rPr>
            </w:pPr>
            <w:r>
              <w:rPr>
                <w:b/>
                <w:u w:val="single"/>
              </w:rPr>
              <w:t>New Issue and/or Secondary Offering</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right"/>
              <w:rPr/>
            </w:pPr>
            <w:r>
              <w:rPr/>
              <w:t>August 4, 2026</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072130" cy="849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72130" cy="8496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EUPRAXIA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US$300,000,000 </w:t>
      </w:r>
    </w:p>
    <w:p>
      <w:pPr>
        <w:pStyle w:val="TextBody"/>
        <w:bidi w:val="0"/>
        <w:spacing w:before="240" w:after="0"/>
        <w:jc w:val="center"/>
        <w:rPr>
          <w:rFonts w:ascii="Times New Roman" w:hAnsi="Times New Roman"/>
          <w:b/>
          <w:sz w:val="24"/>
        </w:rPr>
      </w:pPr>
      <w:r>
        <w:rPr>
          <w:rFonts w:ascii="Times New Roman" w:hAnsi="Times New Roman"/>
          <w:b/>
          <w:sz w:val="24"/>
        </w:rPr>
        <w:t xml:space="preserve">Common Shares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Shares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Subscription Receipts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240" w:after="0"/>
        <w:jc w:val="left"/>
        <w:rPr>
          <w:rFonts w:ascii="Times New Roman" w:hAnsi="Times New Roman"/>
          <w:sz w:val="20"/>
        </w:rPr>
      </w:pPr>
      <w:r>
        <w:rPr>
          <w:rFonts w:ascii="Times New Roman" w:hAnsi="Times New Roman"/>
          <w:sz w:val="20"/>
        </w:rPr>
        <w:t>This short form base shelf prospectus relates to the offering for sale from time to time, during the 25-month period that this prospectus, including any amendments hereto, remains effective, of the common shares (the “</w:t>
      </w:r>
      <w:r>
        <w:rPr>
          <w:rFonts w:ascii="Times New Roman" w:hAnsi="Times New Roman"/>
          <w:b/>
          <w:sz w:val="20"/>
        </w:rPr>
        <w:t>Common Shares</w:t>
      </w:r>
      <w:r>
        <w:rPr>
          <w:rFonts w:ascii="Times New Roman" w:hAnsi="Times New Roman"/>
          <w:sz w:val="20"/>
        </w:rPr>
        <w:t>”), the preferred shares, the debt securities, the warrants, the subscription receipts and the units (the foregoing collectively, the “</w:t>
      </w:r>
      <w:r>
        <w:rPr>
          <w:rFonts w:ascii="Times New Roman" w:hAnsi="Times New Roman"/>
          <w:b/>
          <w:sz w:val="20"/>
        </w:rPr>
        <w:t>Securities</w:t>
      </w:r>
      <w:r>
        <w:rPr>
          <w:rFonts w:ascii="Times New Roman" w:hAnsi="Times New Roman"/>
          <w:sz w:val="20"/>
        </w:rPr>
        <w:t>” and individually, a “</w:t>
      </w:r>
      <w:r>
        <w:rPr>
          <w:rFonts w:ascii="Times New Roman" w:hAnsi="Times New Roman"/>
          <w:b/>
          <w:sz w:val="20"/>
        </w:rPr>
        <w:t>Security</w:t>
      </w:r>
      <w:r>
        <w:rPr>
          <w:rFonts w:ascii="Times New Roman" w:hAnsi="Times New Roman"/>
          <w:sz w:val="20"/>
        </w:rPr>
        <w:t>”), of Eupraxia Pharmaceuticals Inc. (the “</w:t>
      </w:r>
      <w:r>
        <w:rPr>
          <w:rFonts w:ascii="Times New Roman" w:hAnsi="Times New Roman"/>
          <w:b/>
          <w:sz w:val="20"/>
        </w:rPr>
        <w:t>Company</w:t>
      </w:r>
      <w:r>
        <w:rPr>
          <w:rFonts w:ascii="Times New Roman" w:hAnsi="Times New Roman"/>
          <w:sz w:val="20"/>
        </w:rPr>
        <w:t>”, “</w:t>
      </w:r>
      <w:r>
        <w:rPr>
          <w:rFonts w:ascii="Times New Roman" w:hAnsi="Times New Roman"/>
          <w:b/>
          <w:sz w:val="20"/>
        </w:rPr>
        <w:t>Eupraxia</w:t>
      </w:r>
      <w:r>
        <w:rPr>
          <w:rFonts w:ascii="Times New Roman" w:hAnsi="Times New Roman"/>
          <w:sz w:val="20"/>
        </w:rPr>
        <w:t>”, “</w:t>
      </w:r>
      <w:r>
        <w:rPr>
          <w:rFonts w:ascii="Times New Roman" w:hAnsi="Times New Roman"/>
          <w:b/>
          <w:sz w:val="20"/>
        </w:rPr>
        <w:t>we</w:t>
      </w:r>
      <w:r>
        <w:rPr>
          <w:rFonts w:ascii="Times New Roman" w:hAnsi="Times New Roman"/>
          <w:sz w:val="20"/>
        </w:rPr>
        <w:t>” or “</w:t>
      </w:r>
      <w:r>
        <w:rPr>
          <w:rFonts w:ascii="Times New Roman" w:hAnsi="Times New Roman"/>
          <w:b/>
          <w:sz w:val="20"/>
        </w:rPr>
        <w:t>our</w:t>
      </w:r>
      <w:r>
        <w:rPr>
          <w:rFonts w:ascii="Times New Roman" w:hAnsi="Times New Roman"/>
          <w:sz w:val="20"/>
        </w:rPr>
        <w:t xml:space="preserve">”) in one or more series or issuances, with a total offering price of such Securities, in the aggregate, of up to US$300,000,000 (or the equivalent thereof, at the date of issue, in U.S. dollars or one or more foreign currencies or composite currencies, as the case may be). The Securities may be offered by us or by our securityholders. The Securities may be offered separately or together, in amounts, at prices and on terms to be determined based on market conditions at the time of the sale and set forth in an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 </w:t>
      </w:r>
    </w:p>
    <w:p>
      <w:pPr>
        <w:pStyle w:val="TextBody"/>
        <w:bidi w:val="0"/>
        <w:spacing w:before="240" w:after="0"/>
        <w:jc w:val="left"/>
        <w:rPr>
          <w:rFonts w:ascii="Times New Roman" w:hAnsi="Times New Roman"/>
          <w:sz w:val="20"/>
        </w:rPr>
      </w:pPr>
      <w:r>
        <w:rPr>
          <w:rFonts w:ascii="Times New Roman" w:hAnsi="Times New Roman"/>
          <w:sz w:val="20"/>
        </w:rPr>
        <w:t>The Common Shares are listed for trading and posted on the Toronto Stock Exchange (the “</w:t>
      </w:r>
      <w:r>
        <w:rPr>
          <w:rFonts w:ascii="Times New Roman" w:hAnsi="Times New Roman"/>
          <w:b/>
          <w:sz w:val="20"/>
        </w:rPr>
        <w:t>TSX</w:t>
      </w:r>
      <w:r>
        <w:rPr>
          <w:rFonts w:ascii="Times New Roman" w:hAnsi="Times New Roman"/>
          <w:sz w:val="20"/>
        </w:rPr>
        <w:t>”) and the Nasdaq Capital Market (“</w:t>
      </w:r>
      <w:r>
        <w:rPr>
          <w:rFonts w:ascii="Times New Roman" w:hAnsi="Times New Roman"/>
          <w:b/>
          <w:sz w:val="20"/>
        </w:rPr>
        <w:t>Nasdaq</w:t>
      </w:r>
      <w:r>
        <w:rPr>
          <w:rFonts w:ascii="Times New Roman" w:hAnsi="Times New Roman"/>
          <w:sz w:val="20"/>
        </w:rPr>
        <w:t xml:space="preserve">”), under the trading symbol “EPRX”. On July 31, 2026, being the last complete trading day of the TSX prior to the date hereof, the closing price of the Common Shares on the TSX was C$8.98 and on August 3, 2026, being the last complete trading day of Nasdaq prior to the date hereof, the closing price of the Common Shares on Nasdaq was US$6.51. </w:t>
      </w:r>
      <w:r>
        <w:rPr>
          <w:rFonts w:ascii="Times New Roman" w:hAnsi="Times New Roman"/>
          <w:b/>
          <w:sz w:val="20"/>
        </w:rPr>
        <w:t>Unless otherwise specified in the applicable prospectus supplement, Securities other than Common Shares will not be listed on any securities exchange or on any automated dealer quotation</w:t>
      </w:r>
      <w:r>
        <w:rPr>
          <w:rFonts w:ascii="Times New Roman" w:hAnsi="Times New Roman"/>
          <w:sz w:val="20"/>
        </w:rPr>
        <w:t xml:space="preserve"> </w:t>
      </w:r>
      <w:r>
        <w:rPr>
          <w:rFonts w:ascii="Times New Roman" w:hAnsi="Times New Roman"/>
          <w:b/>
          <w:sz w:val="20"/>
        </w:rPr>
        <w:t>system. There is currently no market through which our Securities, other than our Common Shares, may be sold and purchasers may not be able to resell such Securities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rFonts w:ascii="Times New Roman" w:hAnsi="Times New Roman"/>
          <w:b/>
          <w:sz w:val="20"/>
        </w:rPr>
        <w:t>purchased under</w:t>
      </w:r>
      <w:r>
        <w:rPr>
          <w:rFonts w:ascii="Times New Roman" w:hAnsi="Times New Roman"/>
          <w:sz w:val="20"/>
        </w:rPr>
        <w:t xml:space="preserve"> </w:t>
      </w:r>
      <w:r>
        <w:rPr>
          <w:rFonts w:ascii="Times New Roman" w:hAnsi="Times New Roman"/>
          <w:b/>
          <w:sz w:val="20"/>
        </w:rPr>
        <w:t>this</w:t>
      </w:r>
      <w:r>
        <w:rPr>
          <w:rFonts w:ascii="Times New Roman" w:hAnsi="Times New Roman"/>
          <w:sz w:val="20"/>
        </w:rPr>
        <w:t xml:space="preserve"> </w:t>
      </w:r>
      <w:r>
        <w:rPr>
          <w:rFonts w:ascii="Times New Roman" w:hAnsi="Times New Roman"/>
          <w:b/>
          <w:sz w:val="20"/>
        </w:rPr>
        <w:t>prospectus. This may affect the pricing of our Securities, other than our Common Shares, in the secondary</w:t>
      </w:r>
      <w:r>
        <w:rPr>
          <w:rFonts w:ascii="Times New Roman" w:hAnsi="Times New Roman"/>
          <w:sz w:val="20"/>
        </w:rPr>
        <w:t xml:space="preserve"> </w:t>
      </w:r>
      <w:r>
        <w:rPr>
          <w:rFonts w:ascii="Times New Roman" w:hAnsi="Times New Roman"/>
          <w:b/>
          <w:sz w:val="20"/>
        </w:rPr>
        <w:t>market, the transparency and availability of trading prices, the liquidity of our Securities and the extent of issuer regulation. See “</w:t>
      </w:r>
      <w:hyperlink w:anchor="toc142683_5">
        <w:r>
          <w:rPr>
            <w:rStyle w:val="InternetLink"/>
            <w:rFonts w:ascii="Times New Roman" w:hAnsi="Times New Roman"/>
            <w:b/>
            <w:i/>
            <w:sz w:val="20"/>
          </w:rPr>
          <w:t>Risk Factors</w:t>
        </w:r>
      </w:hyperlink>
      <w:r>
        <w:rPr>
          <w:rFonts w:ascii="Times New Roman" w:hAnsi="Times New Roman"/>
          <w:b/>
          <w:i/>
          <w:sz w:val="20"/>
        </w:rPr>
        <w: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offering is made by a Canadian issuer that is permitted, under a multijurisdictional disclosure system (“MJDS”) adopted by the securities regulatory authorities in Canada and the United States, to prepare this prospectus in accordance with disclosure requirements of Canada. Prospective investors in the United States should be aware that such requirements are different from those of the United States. </w:t>
      </w:r>
    </w:p>
    <w:p>
      <w:pPr>
        <w:pStyle w:val="TextBody"/>
        <w:bidi w:val="0"/>
        <w:spacing w:before="240" w:after="0"/>
        <w:jc w:val="left"/>
        <w:rPr>
          <w:rFonts w:ascii="Times New Roman" w:hAnsi="Times New Roman"/>
          <w:sz w:val="20"/>
        </w:rPr>
      </w:pPr>
      <w:r>
        <w:rPr>
          <w:rFonts w:ascii="Times New Roman" w:hAnsi="Times New Roman"/>
          <w:b/>
          <w:sz w:val="20"/>
        </w:rPr>
        <w:t>Prospective investors should be aware that the acquisition, holding or disposition of the securities described herein may have tax consequences both in the United States and in Canada. This prospectus or any applicable prospectus supplement may not describe these tax consequences fully. You should read the tax discussion in any applicable prospectus supplement with respect to any particular offering and consult your own tax advisor with respect to your own particular circumstances. See “</w:t>
      </w:r>
      <w:r>
        <w:rPr>
          <w:rFonts w:ascii="Times New Roman" w:hAnsi="Times New Roman"/>
          <w:b/>
          <w:i/>
          <w:sz w:val="20"/>
        </w:rPr>
        <w:t>Certain Canadian Income Tax Considerations</w:t>
      </w:r>
      <w:r>
        <w:rPr>
          <w:rFonts w:ascii="Times New Roman" w:hAnsi="Times New Roman"/>
          <w:sz w:val="20"/>
        </w:rPr>
        <w:t xml:space="preserve">” </w:t>
      </w:r>
      <w:r>
        <w:rPr>
          <w:rFonts w:ascii="Times New Roman" w:hAnsi="Times New Roman"/>
          <w:b/>
          <w:sz w:val="20"/>
        </w:rPr>
        <w:t>and “</w:t>
      </w:r>
      <w:r>
        <w:rPr>
          <w:rFonts w:ascii="Times New Roman" w:hAnsi="Times New Roman"/>
          <w:b/>
          <w:i/>
          <w:sz w:val="20"/>
        </w:rPr>
        <w:t>Certain Material United States Federal Income Tax Considerations for U.S. Holders</w:t>
      </w:r>
      <w:r>
        <w:rPr>
          <w:rFonts w:ascii="Times New Roman" w:hAnsi="Times New Roman"/>
          <w:sz w:val="20"/>
        </w:rPr>
        <w:t xml:space="preserve">” </w:t>
      </w:r>
      <w:r>
        <w:rPr>
          <w:rFonts w:ascii="Times New Roman" w:hAnsi="Times New Roman"/>
          <w:b/>
          <w:sz w:val="20"/>
        </w:rPr>
        <w:t xml:space="preserve">in this prospectus. </w:t>
      </w:r>
    </w:p>
    <w:p>
      <w:pPr>
        <w:pStyle w:val="TextBody"/>
        <w:bidi w:val="0"/>
        <w:spacing w:before="240" w:after="0"/>
        <w:jc w:val="left"/>
        <w:rPr>
          <w:rFonts w:ascii="Times New Roman" w:hAnsi="Times New Roman"/>
          <w:sz w:val="20"/>
        </w:rPr>
      </w:pPr>
      <w:r>
        <w:rPr>
          <w:rFonts w:ascii="Times New Roman" w:hAnsi="Times New Roman"/>
          <w:b/>
          <w:sz w:val="20"/>
        </w:rPr>
        <w:t>The enforcement by investors of civil liabilities under the United States federal securities laws may be affected adversely by the facts that (i) the Company is incorporated or organized under the laws of British Columbia, Canada, (ii) the majority of its officers and directors are residents of a country other than the United States, (iii) some or all of the experts named in this prospectus may be residents of a country other than the United States and (iv) all or a substantial portion of the assets of the Company and the assets of the foregoing persons may be located outside the United States. See “</w:t>
      </w:r>
      <w:r>
        <w:rPr>
          <w:rFonts w:ascii="Times New Roman" w:hAnsi="Times New Roman"/>
          <w:b/>
          <w:i/>
          <w:sz w:val="20"/>
        </w:rPr>
        <w:t>Enforceability of Civil Liabilities</w:t>
      </w:r>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THESE SECURITIES HAVE NOT BEEN APPROVED OR DISAPPROVED BY THE U.S. SECURITIES AND EXCHANGE COMMISSION OR ANY STATE SECURITIES COMMISSION OR ANY CANADIAN SECURITIES REGULATOR NOR HAVE THESE AUTHORITIES PASSED UPON THE ACCURACY OR ADEQUACY OF THIS PROSPECTUS.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be delivered to purchasers together with this prospectus, except that delivery is not required where an exemption from the delivery requirements in the legislation is available.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pursuant to this prospectus through underwriters or dealers or directly or through agents designated from time to time at amounts and prices and other terms determined by us, including by way of an “at-the-market distribution” as defined in National Instrument 44-102 – </w:t>
      </w:r>
      <w:r>
        <w:rPr>
          <w:rFonts w:ascii="Times New Roman" w:hAnsi="Times New Roman"/>
          <w:i/>
          <w:sz w:val="20"/>
        </w:rPr>
        <w:t>Shelf Distributions</w:t>
      </w:r>
      <w:r>
        <w:rPr>
          <w:rFonts w:ascii="Times New Roman" w:hAnsi="Times New Roman"/>
          <w:sz w:val="20"/>
        </w:rPr>
        <w:t xml:space="preserve"> (an “</w:t>
      </w:r>
      <w:r>
        <w:rPr>
          <w:rFonts w:ascii="Times New Roman" w:hAnsi="Times New Roman"/>
          <w:b/>
          <w:sz w:val="20"/>
        </w:rPr>
        <w:t>ATM Distribution</w:t>
      </w:r>
      <w:r>
        <w:rPr>
          <w:rFonts w:ascii="Times New Roman" w:hAnsi="Times New Roman"/>
          <w:sz w:val="20"/>
        </w:rPr>
        <w:t>”). In connection with any underwritten offering of Securities, other than an ATM Distribution, unless otherwise specified in the relevant prospectus supplement the underwriters may over-allot or effect transactions which stabilize or maintain the market price of the Securities offered. Such transactions, if commenced, may be discontinued at any time. A purchaser who acquires Securities forming part of the underwriters’ over-allocation position acquires those Securities under this prospectus, regardless of whether the over-allocation position is ultimately filled through the exercise of the over- allotment option or secondary market purchases.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underwriter or dealer involved in an ATM Distribution under this prospectus, no affiliate of such an underwriter or dealer and no person or company acting jointly or in concert with such underwriter or dealer will over-allot Securities in connection with such distribution or effect any other transactions that are intended to stabilize or maintain the market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or any selling securityholder may offer and sell the Securities issued under this prospectus to or through underwriters, dealers, placement agents or other intermediaries or directly to one or more purchasers, subject in each case to obtaining any required exemptions under applicable securities laws. The distribution of Securities under this prospectus may be effected from time to time in one or more transactions at a fixed price or prices, which may be changed from time to time, at market prices prevailing at the time of sale, or at prices related to such prevailing market prices, or at other negotiated prices, in each case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The prospectus supplement relating to a particular offering of Securities will identify each selling securityholder, underwriter, dealer or agent engaged in connection with an offering and sale of Securities pursuant to this prospectus and will set forth the terms of the offering of such Securities, including our proceeds and, to the extent applicable, any fees, discounts, concessions or other compensation payable to the underwriters, dealers or agents, the method of distribution, the initial issue price (in the event that the offering is a fixed price distribution) and any other material terms of the plan of distribution. This prospectus may qualify an ATM Distribution.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pPr>
      <w:r>
        <w:rPr>
          <w:rFonts w:ascii="Times New Roman" w:hAnsi="Times New Roman"/>
          <w:b/>
          <w:sz w:val="20"/>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w:t>
      </w:r>
      <w:r>
        <w:rPr>
          <w:rFonts w:ascii="Times New Roman" w:hAnsi="Times New Roman"/>
          <w:b/>
          <w:i/>
          <w:sz w:val="20"/>
        </w:rPr>
        <w:t>Cautionary Note Regarding Forward-Looking Statements</w:t>
      </w:r>
      <w:r>
        <w:rPr>
          <w:rFonts w:ascii="Times New Roman" w:hAnsi="Times New Roman"/>
          <w:sz w:val="20"/>
        </w:rPr>
        <w:t xml:space="preserve">” </w:t>
      </w:r>
      <w:r>
        <w:rPr>
          <w:rFonts w:ascii="Times New Roman" w:hAnsi="Times New Roman"/>
          <w:b/>
          <w:sz w:val="20"/>
        </w:rPr>
        <w:t>and consider such risks and information in connection with an investment in the Securities. See “</w:t>
      </w:r>
      <w:hyperlink w:anchor="toc142683_5">
        <w:r>
          <w:rPr>
            <w:rStyle w:val="InternetLink"/>
            <w:rFonts w:ascii="Times New Roman" w:hAnsi="Times New Roman"/>
            <w:b/>
            <w:i/>
            <w:sz w:val="20"/>
          </w:rPr>
          <w:t>Risk Factors</w:t>
        </w:r>
      </w:hyperlink>
      <w:r>
        <w:rPr>
          <w:rFonts w:ascii="Times New Roman" w:hAnsi="Times New Roman"/>
          <w:sz w:val="20"/>
        </w:rPr>
        <w: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preferred shares, the number of preferred shares offered, the offering price, the designation of, the provisions attaching to, and any other specific terms; (iii)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(iv) in the case of subscription receipts, the number of subscription receipts being offered, the offering price, the procedures for the exchange of the subscription receipts for Common Shares, debt securities or warrants, as the case may be, and any other specific terms; (v) 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and (vi) in the case of units, the designation, number and terms of the Common Shares, warrants, subscription receipts or debt securities comprising the units. Where required by statute, regulation or policy, and where Securities are offered in currencies other than Canadian dollars, appropriate disclosure of foreign exchange rates applicable to the Securities will be included in the prospectus supplement describing the Securities. </w:t>
      </w:r>
    </w:p>
    <w:p>
      <w:pPr>
        <w:pStyle w:val="TextBody"/>
        <w:bidi w:val="0"/>
        <w:spacing w:before="240" w:after="0"/>
        <w:jc w:val="left"/>
        <w:rPr>
          <w:rFonts w:ascii="Times New Roman" w:hAnsi="Times New Roman"/>
          <w:sz w:val="20"/>
        </w:rPr>
      </w:pPr>
      <w:r>
        <w:rPr>
          <w:rFonts w:ascii="Times New Roman" w:hAnsi="Times New Roman"/>
          <w:sz w:val="20"/>
        </w:rPr>
        <w:t>Amy Pott, Robert Bazemore and Helen Thackray, directors of the Company, who reside outside of Canada, have appointed Blakes Vancouver Services Inc., c/o Blake, Cassels &amp; Graydon LLP located at Suite 3500, The Stack, 1133 Melville Street, Vancouver, British Columbia, V6E 4E5, Canada for service of process in Canada. See “</w:t>
      </w:r>
      <w:r>
        <w:rPr>
          <w:rFonts w:ascii="Times New Roman" w:hAnsi="Times New Roman"/>
          <w:i/>
          <w:sz w:val="20"/>
        </w:rPr>
        <w:t>Agent for Service of Process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Securities legislation in certain provinces and territories provides purchasers with the right to withdraw from an agreement to purchase securities. See “</w:t>
      </w:r>
      <w:r>
        <w:rPr>
          <w:rFonts w:ascii="Times New Roman" w:hAnsi="Times New Roman"/>
          <w:i/>
          <w:sz w:val="20"/>
        </w:rPr>
        <w:t>Statutory Rights of Withdrawal and Rescission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underwriter has been involved in the preparation of this prospectus nor has any underwriter performed any review of the contents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Our head office is located at 2198 Yukon Street, Vancouver, BC, V5Y 3P1, Canada.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rely only on the information contained in or incorporated by reference into this prospectus and any applicable prospectus supplement. We have not authorized anyone to provide investors with different information. Information contained on our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2"/>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oc142683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
              <w:r>
                <w:rPr>
                  <w:rStyle w:val="InternetLink"/>
                  <w:rFonts w:ascii="Times New Roman" w:hAnsi="Times New Roman"/>
                  <w:sz w:val="20"/>
                </w:rPr>
                <w:t>DOCUMENTS INCORPORATED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a">
              <w:r>
                <w:rPr>
                  <w:rStyle w:val="InternetLink"/>
                  <w:rFonts w:ascii="Times New Roman" w:hAnsi="Times New Roman"/>
                  <w:sz w:val="20"/>
                </w:rPr>
                <w:t xml:space="preserve">DOCUMENTS FILED AS PART OF THE REGISTRATION STATEMENT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b">
              <w:r>
                <w:rPr>
                  <w:rStyle w:val="InternetLink"/>
                  <w:rFonts w:ascii="Times New Roman" w:hAnsi="Times New Roman"/>
                  <w:sz w:val="20"/>
                </w:rPr>
                <w:t xml:space="preserve">CURRENCY PRESENTATION AND EXCHANGE RATE INFORMATION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3c">
              <w:r>
                <w:rPr>
                  <w:rStyle w:val="InternetLink"/>
                  <w:rFonts w:ascii="Times New Roman" w:hAnsi="Times New Roman"/>
                  <w:sz w:val="20"/>
                </w:rPr>
                <w:t xml:space="preserve">TRADEMARKS AND TRADE NAMES </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4">
              <w:r>
                <w:rPr>
                  <w:rStyle w:val="InternetLink"/>
                  <w:rFonts w:ascii="Times New Roman" w:hAnsi="Times New Roman"/>
                  <w:sz w:val="20"/>
                </w:rPr>
                <w:t>EUPRAXIA PHARMACEUTICALS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7">
              <w:r>
                <w:rPr>
                  <w:rStyle w:val="InternetLink"/>
                  <w:rFonts w:ascii="Times New Roman" w:hAnsi="Times New Roman"/>
                  <w:sz w:val="20"/>
                </w:rPr>
                <w:t>CONSOLIDATED CAPITALIZATION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8">
              <w:r>
                <w:rPr>
                  <w:rStyle w:val="InternetLink"/>
                  <w:rFonts w:ascii="Times New Roman" w:hAnsi="Times New Roman"/>
                  <w:sz w:val="20"/>
                </w:rPr>
                <w:t>PRIOR SALES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9">
              <w:r>
                <w:rPr>
                  <w:rStyle w:val="InternetLink"/>
                  <w:rFonts w:ascii="Times New Roman" w:hAnsi="Times New Roman"/>
                  <w:sz w:val="20"/>
                </w:rPr>
                <w:t>TRADING PRICE AND VOLUME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0">
              <w:r>
                <w:rPr>
                  <w:rStyle w:val="InternetLink"/>
                  <w:rFonts w:ascii="Times New Roman" w:hAnsi="Times New Roman"/>
                  <w:sz w:val="20"/>
                </w:rPr>
                <w:t>EARNINGS COVERAGE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1">
              <w:r>
                <w:rPr>
                  <w:rStyle w:val="InternetLink"/>
                  <w:rFonts w:ascii="Times New Roman" w:hAnsi="Times New Roman"/>
                  <w:sz w:val="20"/>
                </w:rPr>
                <w:t>DESCRIPTION OF SHARE CAPITAL</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2">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72</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3">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4">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5">
              <w:r>
                <w:rPr>
                  <w:rStyle w:val="InternetLink"/>
                  <w:rFonts w:ascii="Times New Roman" w:hAnsi="Times New Roman"/>
                  <w:sz w:val="20"/>
                </w:rPr>
                <w:t>DESCRIPTION OF SUBSCRIPTION RECEIPTS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6">
              <w:r>
                <w:rPr>
                  <w:rStyle w:val="InternetLink"/>
                  <w:rFonts w:ascii="Times New Roman" w:hAnsi="Times New Roman"/>
                  <w:sz w:val="20"/>
                </w:rPr>
                <w:t>SELLING SECURITYHOLDERS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7">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8">
              <w:r>
                <w:rPr>
                  <w:rStyle w:val="InternetLink"/>
                  <w:rFonts w:ascii="Times New Roman" w:hAnsi="Times New Roman"/>
                  <w:sz w:val="20"/>
                </w:rPr>
                <w:t>CERTAIN CANADIAN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19">
              <w:r>
                <w:rPr>
                  <w:rStyle w:val="InternetLink"/>
                  <w:rFonts w:ascii="Times New Roman" w:hAnsi="Times New Roman"/>
                  <w:sz w:val="20"/>
                </w:rPr>
                <w:t>CERTAIN MATERIAL UNITED STATES FEDERAL INCOME TAX CONSIDERATIONS FOR U.S. 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0">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1">
              <w:r>
                <w:rPr>
                  <w:rStyle w:val="InternetLink"/>
                  <w:rFonts w:ascii="Times New Roman" w:hAnsi="Times New Roman"/>
                  <w:sz w:val="20"/>
                </w:rPr>
                <w:t>INTEREST OF EXPERT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2">
              <w:r>
                <w:rPr>
                  <w:rStyle w:val="InternetLink"/>
                  <w:rFonts w:ascii="Times New Roman" w:hAnsi="Times New Roman"/>
                  <w:sz w:val="20"/>
                </w:rPr>
                <w:t>AUDITORS, TRANSFER AGENT AND REGISTRAR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3a">
              <w:r>
                <w:rPr>
                  <w:rStyle w:val="InternetLink"/>
                  <w:rFonts w:ascii="Times New Roman" w:hAnsi="Times New Roman"/>
                  <w:sz w:val="20"/>
                </w:rPr>
                <w:t>AGENT FOR SERVICE OF PROCESS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oc142683_24">
              <w:r>
                <w:rPr>
                  <w:rStyle w:val="InternetLink"/>
                  <w:rFonts w:ascii="Times New Roman" w:hAnsi="Times New Roman"/>
                  <w:sz w:val="20"/>
                </w:rPr>
                <w:t>ENFORCEABILITY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42683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our Securities pursuant thereto.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F-10 relating to the Securities that the Company has filed with the U.S. Securities and Exchange Commission (the “</w:t>
      </w:r>
      <w:r>
        <w:rPr>
          <w:rFonts w:ascii="Times New Roman" w:hAnsi="Times New Roman"/>
          <w:b/>
          <w:sz w:val="20"/>
        </w:rPr>
        <w:t>SEC</w:t>
      </w:r>
      <w:r>
        <w:rPr>
          <w:rFonts w:ascii="Times New Roman" w:hAnsi="Times New Roman"/>
          <w:sz w:val="20"/>
        </w:rPr>
        <w:t>”). Under the registration statement, the Company may, from time to time, sell Securities described in this prospectus in one or more offerings up to an aggregate offering amount of US$300,000,000. This prospectus, which constitutes part of the registration statement, provides you with a general description of the Securities that the Company may offer. Each time the Company sells Securities under the registration statement, it will provide a prospectus supplement that will contain specific information about the terms of that offering of Securities. A prospectus supplement may also add, update or change information contained in this prospectus. Before you invest, you should read both this prospectus and any applicable prospectus supplement together with additional information described under the heading “</w:t>
      </w:r>
      <w:r>
        <w:rPr>
          <w:rFonts w:ascii="Times New Roman" w:hAnsi="Times New Roman"/>
          <w:i/>
          <w:sz w:val="20"/>
        </w:rPr>
        <w:t>Documents Incorporated by Reference</w:t>
      </w:r>
      <w:r>
        <w:rPr>
          <w:rFonts w:ascii="Times New Roman" w:hAnsi="Times New Roman"/>
          <w:sz w:val="20"/>
        </w:rPr>
        <w:t xml:space="preserve">” herein and therein. This prospectus does not contain all of the information set forth in the registration statement, certain parts of which are omitted in accordance with the rules and regulations of the SEC, or the exhibits that are part of the registration statement. Investors in the United States should refer to the registration statement and the exhibits thereto for further information with respect to the Company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 </w:t>
      </w:r>
    </w:p>
    <w:p>
      <w:pPr>
        <w:pStyle w:val="TextBody"/>
        <w:bidi w:val="0"/>
        <w:spacing w:before="240" w:after="0"/>
        <w:jc w:val="left"/>
        <w:rPr>
          <w:rFonts w:ascii="Times New Roman" w:hAnsi="Times New Roman"/>
          <w:sz w:val="20"/>
        </w:rPr>
      </w:pPr>
      <w:r>
        <w:rPr>
          <w:rFonts w:ascii="Times New Roman" w:hAnsi="Times New Roman"/>
          <w:sz w:val="20"/>
        </w:rPr>
        <w:t>In this prospectus and any prospectus supplement, unless otherwise indicated, all references to “C$” are to Canadian dollars and references to “$” or “US$” are to U.S. dollars. See “</w:t>
      </w:r>
      <w:r>
        <w:rPr>
          <w:rFonts w:ascii="Times New Roman" w:hAnsi="Times New Roman"/>
          <w:i/>
          <w:sz w:val="20"/>
        </w:rPr>
        <w:t>Currency Presentation and Exchange Rate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and in any prospectus supplement, unless the context otherwise requires, references to “we”, “us”, “our” or similar terms, as well as references to “Eupraxia” or the “Company”, refer to Eupraxia Pharmaceuticals Inc. together, where context requires, with our subsidiaries. </w:t>
      </w:r>
    </w:p>
    <w:p>
      <w:pPr>
        <w:pStyle w:val="TextBody"/>
        <w:bidi w:val="0"/>
        <w:spacing w:before="240" w:after="0"/>
        <w:jc w:val="left"/>
        <w:rPr>
          <w:rFonts w:ascii="Times New Roman" w:hAnsi="Times New Roman"/>
          <w:sz w:val="20"/>
        </w:rPr>
      </w:pPr>
      <w:r>
        <w:rPr>
          <w:rFonts w:ascii="Times New Roman" w:hAnsi="Times New Roman"/>
          <w:sz w:val="20"/>
        </w:rPr>
        <w:t>In the interest of greater clarity for investors, the Company will use EP-104IAR when referring to the product candidate that is intended for intra-articular injections for indications such as osteoarthritis (“</w:t>
      </w:r>
      <w:r>
        <w:rPr>
          <w:rFonts w:ascii="Times New Roman" w:hAnsi="Times New Roman"/>
          <w:b/>
          <w:sz w:val="20"/>
        </w:rPr>
        <w:t>OA</w:t>
      </w:r>
      <w:r>
        <w:rPr>
          <w:rFonts w:ascii="Times New Roman" w:hAnsi="Times New Roman"/>
          <w:sz w:val="20"/>
        </w:rPr>
        <w:t>”), EP-104GI when referring to the product candidate that is intended for submucosal injections in the gastrointestinal (“</w:t>
      </w:r>
      <w:r>
        <w:rPr>
          <w:rFonts w:ascii="Times New Roman" w:hAnsi="Times New Roman"/>
          <w:b/>
          <w:sz w:val="20"/>
        </w:rPr>
        <w:t>GI</w:t>
      </w:r>
      <w:r>
        <w:rPr>
          <w:rFonts w:ascii="Times New Roman" w:hAnsi="Times New Roman"/>
          <w:sz w:val="20"/>
        </w:rPr>
        <w:t>”) tract for indications such as eosinophilic esophagitis (“</w:t>
      </w:r>
      <w:r>
        <w:rPr>
          <w:rFonts w:ascii="Times New Roman" w:hAnsi="Times New Roman"/>
          <w:b/>
          <w:sz w:val="20"/>
        </w:rPr>
        <w:t>EoE</w:t>
      </w:r>
      <w:r>
        <w:rPr>
          <w:rFonts w:ascii="Times New Roman" w:hAnsi="Times New Roman"/>
          <w:sz w:val="20"/>
        </w:rPr>
        <w:t xml:space="preserve">”), and simply refer to the product candidate as EP-104 in conjunction with topics that are related to both EP-104IAR and EP-104GI. </w:t>
      </w:r>
    </w:p>
    <w:p>
      <w:pPr>
        <w:pStyle w:val="TextBody"/>
        <w:bidi w:val="0"/>
        <w:spacing w:before="480" w:after="0"/>
        <w:jc w:val="center"/>
        <w:rPr>
          <w:rFonts w:ascii="Times New Roman" w:hAnsi="Times New Roman"/>
          <w:b/>
          <w:sz w:val="20"/>
        </w:rPr>
      </w:pPr>
      <w:bookmarkStart w:id="4" w:name="toc142683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caution readers regarding forward-looking statements found in this prospectus (including the documents incorporated by reference herein). This prospectus, including the documents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contains “forward-looking statements” within the meaning of the United States Private Securities Litigation Reform Act of 1995, as amended, and “forward-looking information” within the meaning of Canadian securities laws (collectively, “</w:t>
      </w:r>
      <w:r>
        <w:rPr>
          <w:rFonts w:ascii="Times New Roman" w:hAnsi="Times New Roman"/>
          <w:b/>
          <w:sz w:val="20"/>
        </w:rPr>
        <w:t>forward-looking information</w:t>
      </w:r>
      <w:r>
        <w:rPr>
          <w:rFonts w:ascii="Times New Roman" w:hAnsi="Times New Roman"/>
          <w:sz w:val="20"/>
        </w:rPr>
        <w:t xml:space="preserve">”). This forward-looking information is identified by the use of terms and phrases such as “may,” “might,” “will,” “likely,” “could,” “would,” “should,” “expect,” “intend,” “plan,” “objective,” “goal,” “outlook,” “anticipate,” “believe,” “estimate,” “predict,” “project,” “forecast,” “estimate,” “potential,” “target,” “seek,” “contemplate,” “continue,” “design,” and “ongoing,” the negative of these terms and similar terminology, including references to assumptions, although not all forward-looking information contains these terms and phrases. In addition, any statements in this prospectus or in the documents incorporated by reference herein that refer to expectations, intentions, projections or other characterizations of future events or circumstances, contain forward-looking information. Such forward-looking information includes, but is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strategies and objectives, including current and future plans, expectations and intentions;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evaluate funding alternatives for the continued development of EP-104IAR, including potential partnership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sufficient funding for our operations, including funding for research, development and commercial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projected operating expenses and capital expenditures;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revenues, future trends, opportunities and growth in our industry and the drug development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market reception of the target profile of EP-104GI and EP-104IAR,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and enhance our competitive advantages and technological advantages;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commercial partnerships and commercialization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our ability to enter into definitive agreements with our contract research organizations (“</w:t>
            </w:r>
            <w:r>
              <w:rPr>
                <w:rFonts w:ascii="Times New Roman" w:hAnsi="Times New Roman"/>
                <w:b/>
                <w:sz w:val="20"/>
              </w:rPr>
              <w:t>CROs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out-licencing, co-development and/or collaborative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development programs and activities and the estimated timing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success of regulatory submissions, including the belief that our planned clinical trials will support future New Drug Application (“</w:t>
            </w:r>
            <w:r>
              <w:rPr>
                <w:rFonts w:ascii="Times New Roman" w:hAnsi="Times New Roman"/>
                <w:b/>
                <w:sz w:val="20"/>
              </w:rPr>
              <w:t>NDA</w:t>
            </w:r>
            <w:r>
              <w:rPr>
                <w:rFonts w:ascii="Times New Roman" w:hAnsi="Times New Roman"/>
                <w:sz w:val="20"/>
              </w:rPr>
              <w:t xml:space="preserve">”) submissions for EP-104GI and EP-104IAR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obtaining of potential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hiring of additional research and development team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our technology to impact the drug delivery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additional intellectual property, ability to patent or otherwise protect such developed intellectual property and licenses with third parties for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issued patents to provide protection for our products and technology in applicable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expand upon and exploit our existing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sponsored research agreements and the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advantages and those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planned development and future success of our product candidates and results gathered from studies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products from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regulations and standards to our future products and services or research and development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retention of funds or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translation of our technologies and expansion of our offerings into clinical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to patients from our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strategic relationship to our clients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engagement with legal and regulatory authorities in various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proceeds from the sale of our Securities under this prospectus and our existing cash and cash equivalents and the related estimated cash runway;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and cash equivalents to fund our future operating expenses and capital expenditure requirements and potential sources of additional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issuance of Common Shares upon conversion of our Series 1 Preferred shares in the capital of the Company (the “</w:t>
            </w:r>
            <w:r>
              <w:rPr>
                <w:rFonts w:ascii="Times New Roman" w:hAnsi="Times New Roman"/>
                <w:b/>
                <w:sz w:val="20"/>
              </w:rPr>
              <w:t>Series 1 Preferred Shares</w:t>
            </w:r>
            <w:r>
              <w:rPr>
                <w:rFonts w:ascii="Times New Roman" w:hAnsi="Times New Roman"/>
                <w:sz w:val="20"/>
              </w:rPr>
              <w:t xml:space="preserve">”), and upon exercise of our outstanding stock options and common share purchase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dividends payable on Series 1 Preferred Shares, including the potential issuance of additional Series 1 Preferred Shares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commercial viability of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demand and market acceptance for product candidates we develop and for which we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completion of, and use of proceeds from the sale of our Securities under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anticipation that in the future, therapeutic targets will be differentiated by dosing levels, vehicle and delivery methods and will be distinct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of considering the possibility of identifying a corporate partner to help with the development and/or commercialization of EP-104GI in markets outside of the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continue development of EP-104GI through subsequent clinical trials required by the FDA and other global regulatory bodies to obtain commercial approval for marketing in the United States and around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future success of EP-104IAR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use capital resources previously identified for EP-104IAR development to continue development of EP-104GI;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EP-104 is a promising candidate for prolonged anti-inflammatory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EP-104 drug delivery technology platform has the potential to have a beneficial application for EoE, given the already-established efficacy of oral immediate release of FP in this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EP-104 drug delivery technology platform has the potential to be an effective treatment for OA based on the proven efficacy of other corticosteroids for this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adaptations to the original formulation of EP-104, including modifications to the carrier vehicle and dose, will result in the creation of EP-104GI specific to GI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ongoing global increase in cases and costs of EoE highlight the significant need for novel safe, efficacious and cost-effective treatments to improve outcomes in its management;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various clinical trials and non-clinical work that we believe will be required in support of a future NDA submission for EP-104IAR;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anticipation that we or a potential partner would submit an NDA for EP-104IAR under Section 505(b)(2) of the </w:t>
            </w:r>
            <w:r>
              <w:rPr>
                <w:rFonts w:ascii="Times New Roman" w:hAnsi="Times New Roman"/>
                <w:i/>
                <w:sz w:val="20"/>
              </w:rPr>
              <w:t>Federal Food, Drug and Cosmetic Act</w:t>
            </w:r>
            <w:r>
              <w:rPr>
                <w:rFonts w:ascii="Times New Roman" w:hAnsi="Times New Roman"/>
                <w:sz w:val="20"/>
              </w:rPr>
              <w:t xml:space="preserve"> to obtain FDA approval, and that such NDA would rely in part on non-clinical studies and clinical trials conducted by us or a potential partner, and in part on the FDA’s prior findings of safety and efficacy for the active ingredient for which we do not have a right of reference or which have been established in the scientific literature in the public domain;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the future success of our product candidate will be dependent on late phase development and commercialization expertise and will require significant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focus over the next 24 months on the execution of the EP-104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seek out-licencing, co-development or marketing partners for our technology, with the potential to expand and exploit its application 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intention to put in place conditions and resources, including the potential use of licensing partnerships, that support the success of the development program, marketing authorization(s) and commercialization across multiple jurisdictions, as well as exploitation of any opportunities for lifecycle and patent extension, which, depending on market conditions, may take the form of co-development or commercialization partnerships, transactional opportunities and/or public financing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pipeline programs are expected to be another area of potential growth in the next 24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belief that our technology has the potential to be particularly suitable for diseases requiring precisely targeted and controlled localized therapy where broader tissue or systemic exposure should be avoided (e.g., tumour oncology);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goal to add two pipeline product candidates over the next 24 months to allow for sustained corporate growth, which we expect to involve a multidisciplinary review of candidate drugs, formulation development, in vitro screening to identify the most promising lead candidates and non-clinical proof-of-concept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enroll approximately 120 patients in the Phase 2b portion of the RESOLVE trial in up to 25 sites globally, assessing tissue health measured by biopsy (EoEHSS and PEC scores), symptom scores (SDI and DSQ), and safety, over a twelve-month period. In Q4 2026, we expect to release interim data from the Phase 2b portion of the RESOLVE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at least one Phase 3 study assessing both efficacy (reduced histological signs and improved symptoms) and safety of EP-104GI will be required to seek marketing approval for EP-104GI for EoE;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uses of proceeds of our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our trend of net losses will continue into the future as we make further investments in our EP-104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research and development expenses will increase as we undertake clinical trials and incur significant costs for CROs and consultants, and further investment in additional drug candidates in support of broader pipeline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that general and administrative expenses are likely to remain high in the future as a result of ongoing costs associated with public company compliance;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that our growth plans will require further capital and our plans to obtain such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Forward-looking information involves known and unknown risks and uncertainties, many of which are beyond our control, that could cause actual results to differ materially from those that are disclosed in or implied by such forward-looking information. These risks and uncertainties include, but are not limited to, those described in greater detail under “</w:t>
      </w:r>
      <w:r>
        <w:rPr>
          <w:rFonts w:ascii="Times New Roman" w:hAnsi="Times New Roman"/>
          <w:i/>
          <w:sz w:val="20"/>
        </w:rPr>
        <w:t>Risk Factors</w:t>
      </w:r>
      <w:r>
        <w:rPr>
          <w:rFonts w:ascii="Times New Roman" w:hAnsi="Times New Roman"/>
          <w:sz w:val="20"/>
        </w:rPr>
        <w:t xml:space="preserve">” below and in the Annual Information Form (defined below),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and have no products approved for commercial sale, which may make it difficult for you to evaluate our current business and predict our future success and viability;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require substantial additional financing to achieve our goals and a failure to obtain this necessary capital when needed could force us to delay, limit, reduce or terminate our product development or commercialization efforts, if any of our product candidates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success of our lead product candidates EP-104GI, which is currently being studied in a Phase 1b/2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U.S. Food and Drug Administration (the “</w:t>
            </w:r>
            <w:r>
              <w:rPr>
                <w:rFonts w:ascii="Times New Roman" w:hAnsi="Times New Roman"/>
                <w:b/>
                <w:sz w:val="20"/>
              </w:rPr>
              <w:t>FDA</w:t>
            </w:r>
            <w:r>
              <w:rPr>
                <w:rFonts w:ascii="Times New Roman" w:hAnsi="Times New Roman"/>
                <w:sz w:val="20"/>
              </w:rPr>
              <w:t xml:space="preserve">”) or comparable non-U.S. regulatory authorities or provide the basis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lead product candidates may not be successful for their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and future product candidates will require regulatory approval, which is costly, and we may fail to obtain regulatory approvals or only obtain approvals for limited uses or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formulating any additional product candidates with our Diffusphere platform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clinical trials of our product candidates may not demonstrate safety and efficacy to the satisfaction of the FDA, European Medicines Agency (“</w:t>
            </w:r>
            <w:r>
              <w:rPr>
                <w:rFonts w:ascii="Times New Roman" w:hAnsi="Times New Roman"/>
                <w:b/>
                <w:sz w:val="20"/>
              </w:rPr>
              <w:t>EMA</w:t>
            </w:r>
            <w:r>
              <w:rPr>
                <w:rFonts w:ascii="Times New Roman" w:hAnsi="Times New Roman"/>
                <w:sz w:val="20"/>
              </w:rPr>
              <w:t xml:space="preserve">”), Health Canada or other comparable foreign regulatory authorities or otherwise produce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requires us to share our trade secrets, which increases the possibility that a competitor or other third party will discover them or that our trade secrets will be misappropriated or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other regulatory approval sooner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establish sales and marketing capabilities or enter into agreements with third parties to market and sell our drug candidates, if approved, we may be unable to generate any product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novel technology with uncertain market acceptance if any of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experience delays or difficulties in the enrollment and/or maintenance of patients in clinical trials, our clinical development activities could be delayed or otherwise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drug development is a lengthy, expensive, and inherently uncertain process, and we may experience delays in completing, or ultimately be unable to successfully complete the clinical trials needed for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and other comparable foreign regulatory authorities may not accept data from trials conducted in locations outside of their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mean that we will be successful in obtaining regulatory approval of our product candidates in other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market opportunity for any product candidate that we or our strategic partners develop is smaller than we believe, our revenue may be adversely affected and our business may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product candidates receive regulatory approval, the competitive landscape, standard of care, and pricing and reimbursement environment may have changed by that time, which could significantly reduce the market opportunity and our ability to attain commercially viable pricing for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for competitive products could decrease due to competition from generic or biosimilar versions of those drugs, which could have a materially negative impact on our ability to capture adequate pricing of our product candidates, if approved;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even if our product candidates receive regulatory approval, we will be subject to significant post marketing regulatory requirements and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FDA’s and other regulatory authorities’ policies may change, and additional government regulations may be enacted that could prevent, limit or delay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and other regulatory agencies actively enforce the laws and regulations prohibiting the promotion of off-label uses and failure to comply with these laws and other laws relating to promotion could subject us to enforcement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at the FDA and other government agencies caused by actions taken by the current U.S. presidential administration or through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in a highly competitive industry which is continuously evolving with technological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success will depend on our ability to continually enhance and develop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expend our limited resources to pursue a particular product candidate or indication and fail to capitalize on product candidates or indications that may be more profitable or for which there is a greater likelihood of success;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methods of product candidate manufacturing or formulation may result in additional costs or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uncertainty regarding U.S. tariffs and support for existing treaty and trade relationships, including with Canada, and implementation of new legislative or regulatory policies by the U.S. government could impose additional costs on the Company, result in delayed timelines, or otherwise negatively impact the Company, which could have a material adverse impact on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variety of risks associated with potential international business relationships could materially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drug pricing and reimbursement policies—including the introduction or expansion of “most-favored-nation” or similar reference-pricing frameworks could materially reduce achievable pricing, constrain market access, and adversely impact our revenues, margins, and overall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 arrangements we may enter into in the future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of any future debt instruments may restrict our ability to pursue our business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acquire businesses or products, or form strategic alliances in the future, and we may not realize the benefits of such acquisitions or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traditionally relied on key collaborations and grants;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manage our growth successfully, which may adversely impact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guidelines and recommendations published by various organizations can reduce the use of products that we may commercialize if marketing authorization is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hazardous chemicals and biological materials in our business. Any claims relating to improper handling, storage or disposal of these materials could be time consuming and costly;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product liability lawsuits are brought against us, then we may incur substantial liabilities and may be required to limit commercialization of EP-104, if approved, for any indication, and any other future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securities litigation, which is expensive and could divert management attention;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may be affiliated with other biotech companies and may have conflicts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macroeconomic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affected by global geopolitical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responsible for corruption and anti-bribery law violations;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foreign exchange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taxation risks and changing rules by different tax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a number of risks and hazards and may not be sufficiently insured for all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devote significant resources to regulatory compliance as a public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on our ability to protect our intellectual property and our proprietary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scope of any patent protection we obtain is not sufficiently broad, or if we lose any of our patent protection, our ability to prevent our competitors from commercializing similar or identical product candidates would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rights do not necessarily address all potential threats to our competitive advantage;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patent rights may prove to be an inadequate barrier to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successful in obtaining or maintaining necessary rights to our product candidates through acquisitions and in-licenses;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involved in lawsuits to protect or enforce our patents or our future licensors’ patents, which could be expensive, time consuming, and unsuccessful. Further, our issued patents or our current or future licensors’ patents could be found invalid or unenforceable if challenged in court or before administrative bodies in the United States or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litigation may lead to unfavorable publicity that harms our reputation and causes the market price of our Common Shares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derivation proceedings may be necessary to determine priority of inventions, and an unfavorable outcome may require us to cease using the related technology or to attempt to license rights from the prevailing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identify relevant third-party patents or may incorrectly interpret the relevance, scope or expiration of a third-party patent, which might adversely affect our ability to develop and market our products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U.S. patent law, or laws in other countries, or their interpretation could diminish the value of patents in general, thereby impairing our ability to protect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challenging the inventorship or ownership of our patents, the patents we license, and other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 terms may be inadequate to protect our competitive position on our product candidates for an adequate amount of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protect or enforce our intellectual property rights throughout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our patent protection depends on compliance with various procedural, documentary submission, fee payment and other requirements imposed by regulations and governmental patent agencies, and our patent protection could be reduced or eliminated for non-compliance with these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trademarks and trade names are not adequately protected, then we may not be able to build name recognition in our markets of interest and our business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protect the confidentiality of our trade secrets, the value of our technology could be materially adversely affected, harming our business and competitive position;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or our employees, independent contractors, or consultants have wrongfully used or disclosed alleged confidential information or trade secrets;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claims that we have wrongfully hired an employee from a competitor or that we or our employees, independent contractors, or consultants have wrongfully used or disclosed alleged confidential information or trade secrets of their former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rights to develop and commercialize our technology and product candidates, if approved, may be subject, in part, to the terms and conditions of any future licenses granted to us by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future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 protection and patent prosecution for some of our product candidates may be dependent on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coverage and reimbursement may be limited or unavailable in certain market segments for our product candidates, if approved, which could make it difficult for us to sell any product candidates or therapies, if approved,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healthcare providers and physicians and third-party payors will be subject to applicable anti-kickback, fraud and abuse and other healthcare laws and regulations, which could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expose us to criminal sanctions, civil penalties, contractual damages, reputational harm and diminished profits and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employees, independent contractors, consultants, commercial collaborators, principal investigators, CROs, suppliers and vendors may engage in misconduct or other improper activities, including noncompliance with regulatory standards and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research and development activities could be affected or delayed as a result of possible restrictions on animal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ongoing healthcare legislative and regulatory reform measures may have a material adverse effect on our business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Common Shares may be volatile;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broad discretion over the use of proceeds from this offering, and we may not use the proceeds in the desired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investors in our Common Shares will experience immediate and substantial dilution after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investors may lose their entire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no history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existing executive officers and directors own a significant percentage of Common Shares and may have a significant impact over matters submitted to our shareholders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Common Shares by our existing shareholders could cause our share price to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to raise additional financing in the future which may dilute our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outstanding Series 1 Preferred Shares, and any future issuance of preferred shares could make it difficult for another company to acquire us or could otherwise adversely affect holders of our Common Shares, which could depress the price of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constating documents permit us to issue an unlimited number of Common Shares without additional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raising additional capital may cause dilution to our shareholders, including purchasers of Common Shares in this offering, restrict our operations or require us to relinquish rights to our technologies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warrants, pre-funded warrants, Series 1 Preferred Shares convertible into Common Shares, and shares of a subsidiary exchangeable for Common Shares outstanding, which in each case, if exercised, converted or exchanged, respectively, could cause dilution to existing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may have limited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is no established market for certain securities, and we cannot assure you that an active market will develop for our Common Shares on the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interest rates may affect the market price or value of any of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markets may affect the market price or value of any of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investors may not be able to obtain enforcement of civil liabilities against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foreign private issuer, we are subject to different U.S. securities laws and rules than a domestic U.S. issuer, which may limit the information publicly available to our U.S.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lose our foreign private issuer status in the future, which could result in significant additional costs and expenses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Shares could be subject to large price and volume volatility;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of our shares may suffer adverse tax consequences if we are characterized as a passive foreign investment company. </w:t>
            </w:r>
          </w:p>
        </w:tc>
      </w:tr>
    </w:tbl>
    <w:p>
      <w:pPr>
        <w:pStyle w:val="TextBody"/>
        <w:bidi w:val="0"/>
        <w:spacing w:before="240" w:after="0"/>
        <w:jc w:val="left"/>
        <w:rPr>
          <w:rFonts w:ascii="Times New Roman" w:hAnsi="Times New Roman"/>
          <w:sz w:val="20"/>
        </w:rPr>
      </w:pPr>
      <w:r>
        <w:rPr>
          <w:rFonts w:ascii="Times New Roman" w:hAnsi="Times New Roman"/>
          <w:sz w:val="20"/>
        </w:rPr>
        <w:t>Although we have attempted to identify important risk factors that could cause actual results to differ materially from those contained in forward-looking information, there may be other risk factors not presently known to us or that we presently believe are not material that could also cause actual results or future events to differ materially from those expressed in such forward-looking information, including but not limited to the factors in the “</w:t>
      </w:r>
      <w:r>
        <w:rPr>
          <w:rFonts w:ascii="Times New Roman" w:hAnsi="Times New Roman"/>
          <w:i/>
          <w:sz w:val="20"/>
        </w:rPr>
        <w:t>Risk Factors</w:t>
      </w:r>
      <w:r>
        <w:rPr>
          <w:rFonts w:ascii="Times New Roman" w:hAnsi="Times New Roman"/>
          <w:sz w:val="20"/>
        </w:rPr>
        <w:t>” section of this prospectus and those described under “</w:t>
      </w:r>
      <w:r>
        <w:rPr>
          <w:rFonts w:ascii="Times New Roman" w:hAnsi="Times New Roman"/>
          <w:i/>
          <w:sz w:val="20"/>
        </w:rPr>
        <w:t>Risk Factors</w:t>
      </w:r>
      <w:r>
        <w:rPr>
          <w:rFonts w:ascii="Times New Roman" w:hAnsi="Times New Roman"/>
          <w:sz w:val="20"/>
        </w:rPr>
        <w:t xml:space="preserve">” in the Annual Information Form, as well as those contained in any prospectus supplement. Our Risk Factors are not guarantees that no such conditions exist as of the date of this prospectus and should not be interpreted as an affirmative statement that such risks or conditions have not materialized, in whole or in part. The Annual Information Form is available under our profile on SEDAR+ at www.sedarplus.ca and as an Exhibit to our Annual Report on Form 40-F under our profile on EDGAR at www.sec.gov.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information is based on management’s beliefs and assumptions and on information currently available to management. Although the forward-looking information contained in this prospectus and in the documents incorporated by reference herein is based upon what we believe are reasonable assumptions, investors are cautioned against placing undue reliance on this information since actual results may vary from the 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Additional material risks and uncertainties applicable to the forward-looking statements herein include, without limitation, unforeseen events, developments, or factors causing any of the aforesaid expectations, assumptions, and other factors ultimately being inaccurate or irrelevant. Many of these factors are beyond our control. All forward-looking statements included in this prospectus and the documents incorporated herein by reference are expressly qualified in their entirety by these cautionary statements. The forward-looking statements contained in this prospectus, or the documents incorporated by reference herein are made as at the date hereof or thereof and the Company undertakes no obligation to update publicly or to revise any of the forward-looking statements, whether because of new information, future events, or otherwise, except as may be required by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42683_3"/>
      <w:bookmarkEnd w:id="5"/>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Information has been incorporated by reference in this prospectus from documents filed with the securities commissions or similar authorities in Canada. </w:t>
      </w:r>
    </w:p>
    <w:p>
      <w:pPr>
        <w:pStyle w:val="TextBody"/>
        <w:bidi w:val="0"/>
        <w:spacing w:before="120" w:after="0"/>
        <w:jc w:val="left"/>
        <w:rPr>
          <w:rFonts w:ascii="Times New Roman" w:hAnsi="Times New Roman"/>
          <w:sz w:val="20"/>
        </w:rPr>
      </w:pPr>
      <w:r>
        <w:rPr>
          <w:rFonts w:ascii="Times New Roman" w:hAnsi="Times New Roman"/>
          <w:sz w:val="20"/>
        </w:rPr>
        <w:t>Copies of the documents incorporated herein by reference may be obtained on request without charge from the secretary of the Company, at 2198 Yukon Street, Vancouver, BC, V5Y 3P1, Canada (Telephone (250) 590-3968) or by accessing the disclosure documents through the Internet on the Canadian System for Electronic Data Analysis and Retrieval + (“</w:t>
      </w:r>
      <w:r>
        <w:rPr>
          <w:rFonts w:ascii="Times New Roman" w:hAnsi="Times New Roman"/>
          <w:b/>
          <w:sz w:val="20"/>
        </w:rPr>
        <w:t>SEDAR+</w:t>
      </w:r>
      <w:r>
        <w:rPr>
          <w:rFonts w:ascii="Times New Roman" w:hAnsi="Times New Roman"/>
          <w:sz w:val="20"/>
        </w:rPr>
        <w:t>”) at www.sedarplus.ca or the Electronic Data Gathering, Analysis, and Retrieval System (“</w:t>
      </w:r>
      <w:r>
        <w:rPr>
          <w:rFonts w:ascii="Times New Roman" w:hAnsi="Times New Roman"/>
          <w:b/>
          <w:sz w:val="20"/>
        </w:rPr>
        <w:t>EDGAR</w:t>
      </w:r>
      <w:r>
        <w:rPr>
          <w:rFonts w:ascii="Times New Roman" w:hAnsi="Times New Roman"/>
          <w:sz w:val="20"/>
        </w:rPr>
        <w:t xml:space="preserv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filed with the securities commissions or similar regulatory authorities in certain provinces and territories of Canada are specifically incorporated by reference into, and form an integral part of,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3">
              <w:r>
                <w:rPr>
                  <w:rStyle w:val="InternetLink"/>
                  <w:rFonts w:ascii="Times New Roman" w:hAnsi="Times New Roman"/>
                  <w:sz w:val="20"/>
                </w:rPr>
                <w:t>the annual information form of the Company dated March 11, 2026 for the year ended December 31, 2025</w:t>
              </w:r>
            </w:hyperlink>
            <w:r>
              <w:rPr>
                <w:rFonts w:ascii="Times New Roman" w:hAnsi="Times New Roman"/>
                <w:sz w:val="20"/>
              </w:rPr>
              <w:t xml:space="preserve"> (the “</w:t>
            </w:r>
            <w:r>
              <w:rPr>
                <w:rFonts w:ascii="Times New Roman" w:hAnsi="Times New Roman"/>
                <w:b/>
                <w:sz w:val="20"/>
              </w:rPr>
              <w:t>Annual Information Form</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4">
              <w:r>
                <w:rPr>
                  <w:rStyle w:val="InternetLink"/>
                  <w:rFonts w:ascii="Times New Roman" w:hAnsi="Times New Roman"/>
                  <w:sz w:val="20"/>
                </w:rPr>
                <w:t>the audited consolidated financial statements of the Company for the years ended December 31, 2025 and 2024, together with the notes thereto and the report of the independent registered public accounting firm thereon</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hyperlink r:id="rId5">
              <w:r>
                <w:rPr>
                  <w:rStyle w:val="InternetLink"/>
                  <w:rFonts w:ascii="Times New Roman" w:hAnsi="Times New Roman"/>
                  <w:sz w:val="20"/>
                </w:rPr>
                <w:t>the management’s discussion and analysis of financial condition and results of operations of the Company for the year ended December 31,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6">
              <w:r>
                <w:rPr>
                  <w:rStyle w:val="InternetLink"/>
                  <w:rFonts w:ascii="Times New Roman" w:hAnsi="Times New Roman"/>
                  <w:sz w:val="20"/>
                </w:rPr>
                <w:t>the unaudited interim consolidated financial statements of the Company for the three months ended March 31,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hyperlink r:id="rId7">
              <w:r>
                <w:rPr>
                  <w:rStyle w:val="InternetLink"/>
                  <w:rFonts w:ascii="Times New Roman" w:hAnsi="Times New Roman"/>
                  <w:sz w:val="20"/>
                </w:rPr>
                <w:t>the management’s discussion and analysis of financial condition and results of operations of the Company for the three months ended March 31,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hyperlink r:id="rId8">
              <w:r>
                <w:rPr>
                  <w:rStyle w:val="InternetLink"/>
                  <w:rFonts w:ascii="Times New Roman" w:hAnsi="Times New Roman"/>
                  <w:sz w:val="20"/>
                </w:rPr>
                <w:t>the management information circular dated May 11, 2026, distributed in connection with the annual general meeting of shareholders held on June 18,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hyperlink r:id="rId9">
              <w:r>
                <w:rPr>
                  <w:rStyle w:val="InternetLink"/>
                  <w:rFonts w:ascii="Times New Roman" w:hAnsi="Times New Roman"/>
                  <w:sz w:val="20"/>
                </w:rPr>
                <w:t>the material change report dated February 23, 2026, regarding the closing of the Company’s brokered public offering for gross proceeds of approximately US$63.2 million</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hyperlink r:id="rId10">
              <w:r>
                <w:rPr>
                  <w:rStyle w:val="InternetLink"/>
                  <w:rFonts w:ascii="Times New Roman" w:hAnsi="Times New Roman"/>
                  <w:sz w:val="20"/>
                </w:rPr>
                <w:t>the material change report dated July 15, 2026, regarding certain changes to the Company’s management team</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documents of the type described in Section 11.1 of Form 44-101F1 – </w:t>
      </w:r>
      <w:r>
        <w:rPr>
          <w:rFonts w:ascii="Times New Roman" w:hAnsi="Times New Roman"/>
          <w:i/>
          <w:sz w:val="20"/>
        </w:rPr>
        <w:t>Short Form Prospectus</w:t>
      </w:r>
      <w:r>
        <w:rPr>
          <w:rFonts w:ascii="Times New Roman" w:hAnsi="Times New Roman"/>
          <w:sz w:val="20"/>
        </w:rPr>
        <w:t xml:space="preserve"> required to be incorporated by reference into a short form prospectus, including any annual information forms, all material change reports (excluding confidential reports, if any), all annual and interim financial statements and management’s discussion and analysis relating thereto, or information circulars or amendments thereto filed by the Company with any securities commissions or similar regulatory authority in any province or territory of Canada subsequent to the date of this prospectus and prior to the expiry of this prospectus, or the completion of the issuance of Securities pursuant hereto, will be deemed to be incorporated by reference in this prospectus and will automatically update and supersede information contained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In addition, to the extent that any document or information incorporated by reference into this prospectus is included in any report on Form 6-K, Form 40-F, Form 20-F, Form 10-K, Form 10-Q or Form 8-K (or any respective successor form) that is filed with or furnished to the SEC by the Company after the date of this prospectus, such document or information shall be deemed to be incorporated by reference as an exhibit to the registration statement on Form F-10 of which this prospectus forms a part. The Company may also incorporate by reference into this prospectus or the registration statement of which it forms a part, other information filed with or furnished to the SEC under the U.S. Exchange Act of 1934, as amended (the “</w:t>
      </w:r>
      <w:r>
        <w:rPr>
          <w:rFonts w:ascii="Times New Roman" w:hAnsi="Times New Roman"/>
          <w:b/>
          <w:sz w:val="20"/>
        </w:rPr>
        <w:t>U.S. Exchange Act</w:t>
      </w:r>
      <w:r>
        <w:rPr>
          <w:rFonts w:ascii="Times New Roman" w:hAnsi="Times New Roman"/>
          <w:sz w:val="20"/>
        </w:rPr>
        <w:t xml:space="preserve">”), provided that information included in any report on Form 6-K or Form 8-K shall be so deemed to be incorporated by reference only if and to the extent expressly provided in such Form 6-K or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prospectus supplement containing the specific terms of any offering of our Securities will be delivered to purchasers of our Securities together with this prospectus and will be deemed to be incorporated by reference in this prospectus as of the date of the prospectus supplement and only for the purposes of the offering of our Securities to which that prospectus supplement pertains, except that delivery is not required where an exemption from the delivery requirements in the legislation is available. </w:t>
      </w:r>
    </w:p>
    <w:p>
      <w:pPr>
        <w:pStyle w:val="TextBody"/>
        <w:bidi w:val="0"/>
        <w:spacing w:before="240" w:after="0"/>
        <w:jc w:val="left"/>
        <w:rPr>
          <w:rFonts w:ascii="Times New Roman" w:hAnsi="Times New Roman"/>
          <w:b/>
          <w:sz w:val="20"/>
        </w:rPr>
      </w:pPr>
      <w:r>
        <w:rPr>
          <w:rFonts w:ascii="Times New Roman" w:hAnsi="Times New Roman"/>
          <w:b/>
          <w:sz w:val="20"/>
        </w:rPr>
        <w:t xml:space="preserve">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template version of any “marketing materials” (as such term is defined in National Instrument 44-101 – </w:t>
      </w:r>
      <w:r>
        <w:rPr>
          <w:rFonts w:ascii="Times New Roman" w:hAnsi="Times New Roman"/>
          <w:i/>
          <w:sz w:val="20"/>
        </w:rPr>
        <w:t>Short Form Prospectus Distributions</w:t>
      </w:r>
      <w:r>
        <w:rPr>
          <w:rFonts w:ascii="Times New Roman" w:hAnsi="Times New Roman"/>
          <w:sz w:val="20"/>
        </w:rPr>
        <w:t xml:space="preserve">) filed after the date of a prospectus supplement and before the termination of the distribution of the Securities offered pursuant to such prospectus supplement (together with this prospectus) is deemed to be incorporated by reference in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a new annual information form and annual consolidated financial statements being filed by the Company with the applicable Canadian securities commissions or similar regulatory authorities in Canada during the period that this prospectus is effective, the previous annual information form, the previous annual consolidated financial statements and all interim consolidated financial statements and in each case the accompanying management’s discussion and analysis of financial condition and results of operations, and material change reports, as applicable, filed prior to the commencement of the financial year of the Company in which such annual information form is filed shall be deemed to no longer be incorporated into this prospectus for purpose of future offers and sales of Securities under this prospectus. Upon interim consolidated financial statements and the accompanying management’s discussion and analysis of financial condition and results of operations being filed by the Company with the applicable Canadian securities commissions or similar regulatory authorities during the period that this prospectus is effective, all interim consolidated financial statements and the accompanying management’s discussion and analysis of financial condition and results of operations filed prior to such new interim consolidated financial statements and management’s discussion and analysis of financial condition and results of operations, as applicable, shall be deemed to no longer be incorporated into this prospectus for purposes of future offers and sales of Securities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References to our website in any documents that are incorporated by reference into this prospectus do not incorporate by reference the information on such website into this prospectus, and we disclaim any such incorporation by reference. </w:t>
      </w:r>
    </w:p>
    <w:p>
      <w:pPr>
        <w:pStyle w:val="TextBody"/>
        <w:bidi w:val="0"/>
        <w:spacing w:before="480" w:after="0"/>
        <w:jc w:val="center"/>
        <w:rPr>
          <w:rFonts w:ascii="Times New Roman" w:hAnsi="Times New Roman"/>
          <w:b/>
          <w:sz w:val="20"/>
        </w:rPr>
      </w:pPr>
      <w:bookmarkStart w:id="6" w:name="toc142683_3a"/>
      <w:bookmarkEnd w:id="6"/>
      <w:r>
        <w:rPr>
          <w:rFonts w:ascii="Times New Roman" w:hAnsi="Times New Roman"/>
          <w:b/>
          <w:sz w:val="20"/>
        </w:rPr>
        <w:t xml:space="preserve">DOCUMENTS FILED AS PART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have been or will be filed with or furnished to the SEC as part of the registration statement on Form F-10 of which this prospectus forms a part: (i) the documents listed under the heading “Documents Incorporated by Reference”; (ii) powers of attorney from our directors and certain officers, as applicable; (iii) the consent of independent registered public accounting firm, KPMG LLP; and (iv) the form of indenture for any Debt Securities issued under this prospectus. A copy of the form of warrant, warrant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subscription receipt agreement or statement of eligibility of trustee on Form T-1, as applicable, will be filed by post-effective amendment or by incorporation by reference to documents filed or furnished with the SEC under the U.S. Exchange Act. </w:t>
      </w:r>
    </w:p>
    <w:p>
      <w:pPr>
        <w:pStyle w:val="TextBody"/>
        <w:bidi w:val="0"/>
        <w:spacing w:before="480" w:after="0"/>
        <w:jc w:val="center"/>
        <w:rPr>
          <w:rFonts w:ascii="Times New Roman" w:hAnsi="Times New Roman"/>
          <w:b/>
          <w:sz w:val="20"/>
        </w:rPr>
      </w:pPr>
      <w:bookmarkStart w:id="7" w:name="toc142683_3b"/>
      <w:bookmarkEnd w:id="7"/>
      <w:r>
        <w:rPr>
          <w:rFonts w:ascii="Times New Roman" w:hAnsi="Times New Roman"/>
          <w:b/>
          <w:sz w:val="20"/>
        </w:rPr>
        <w:t xml:space="preserve">CURRENCY PRESENTATION AND EXCHANGE RATE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noted in our financial statements and the related management’s discussion and analysis that are incorporated by reference into this prospectus, the financial information contained in such documents is expressed in U.S. dollars. Exchange rates between U.S. dollars and the Canadian dollar are included below. </w:t>
      </w:r>
    </w:p>
    <w:p>
      <w:pPr>
        <w:pStyle w:val="TextBody"/>
        <w:bidi w:val="0"/>
        <w:spacing w:before="240" w:after="0"/>
        <w:jc w:val="left"/>
        <w:rPr>
          <w:rFonts w:ascii="Times New Roman" w:hAnsi="Times New Roman"/>
          <w:sz w:val="20"/>
        </w:rPr>
      </w:pPr>
      <w:r>
        <w:rPr>
          <w:rFonts w:ascii="Times New Roman" w:hAnsi="Times New Roman"/>
          <w:sz w:val="20"/>
        </w:rPr>
        <w:t xml:space="preserve">On July 31, 2026, the rate of exchange posted by the Bank of Canada for conversion of U.S. dollars into Canadian dollars was C$1.00 = US$0.7128 or US$1.00 = C$1.4029. </w:t>
      </w:r>
    </w:p>
    <w:p>
      <w:pPr>
        <w:pStyle w:val="TextBody"/>
        <w:bidi w:val="0"/>
        <w:spacing w:before="480" w:after="0"/>
        <w:jc w:val="center"/>
        <w:rPr>
          <w:rFonts w:ascii="Times New Roman" w:hAnsi="Times New Roman"/>
          <w:b/>
          <w:sz w:val="20"/>
        </w:rPr>
      </w:pPr>
      <w:bookmarkStart w:id="8" w:name="toc142683_3c"/>
      <w:bookmarkEnd w:id="8"/>
      <w:r>
        <w:rPr>
          <w:rFonts w:ascii="Times New Roman" w:hAnsi="Times New Roman"/>
          <w:b/>
          <w:sz w:val="20"/>
        </w:rPr>
        <w:t xml:space="preserve">TRADEMARKS AND TRADE NAMES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herein include certain trademarks, which are protected under applicable intellectual property laws and are our property. Solely for convenience, our trademarks and trade names referred to in this prospectus and in the documents incorporated by reference herein may appear without the ® or  symbol, but such references are not intended to indicate, in any way, that we will not assert, to the fullest extent under applicable law, our rights to these trademarks and trade names. All other trademarks used in this prospectus or the documents incorporated by reference herein are the property of their respective owners. </w:t>
      </w:r>
    </w:p>
    <w:p>
      <w:pPr>
        <w:pStyle w:val="TextBody"/>
        <w:bidi w:val="0"/>
        <w:spacing w:before="480" w:after="0"/>
        <w:jc w:val="center"/>
        <w:rPr>
          <w:rFonts w:ascii="Times New Roman" w:hAnsi="Times New Roman"/>
          <w:b/>
          <w:sz w:val="20"/>
        </w:rPr>
      </w:pPr>
      <w:bookmarkStart w:id="9" w:name="toc142683_4"/>
      <w:bookmarkEnd w:id="9"/>
      <w:r>
        <w:rPr>
          <w:rFonts w:ascii="Times New Roman" w:hAnsi="Times New Roman"/>
          <w:b/>
          <w:sz w:val="20"/>
        </w:rPr>
        <w:t xml:space="preserve">EUPRAXIA PHARMACEUTICALS INC. </w:t>
      </w:r>
    </w:p>
    <w:p>
      <w:pPr>
        <w:pStyle w:val="TextBody"/>
        <w:bidi w:val="0"/>
        <w:spacing w:before="240" w:after="0"/>
        <w:jc w:val="left"/>
        <w:rPr>
          <w:rFonts w:ascii="Times New Roman" w:hAnsi="Times New Roman"/>
          <w:b/>
          <w:sz w:val="20"/>
        </w:rPr>
      </w:pPr>
      <w:r>
        <w:rPr>
          <w:rFonts w:ascii="Times New Roman" w:hAnsi="Times New Roman"/>
          <w:b/>
          <w:sz w:val="20"/>
        </w:rPr>
        <w:t xml:space="preserve">Business of the Company </w:t>
      </w:r>
    </w:p>
    <w:p>
      <w:pPr>
        <w:pStyle w:val="TextBody"/>
        <w:bidi w:val="0"/>
        <w:spacing w:before="120" w:after="0"/>
        <w:jc w:val="left"/>
        <w:rPr>
          <w:rFonts w:ascii="Times New Roman" w:hAnsi="Times New Roman"/>
          <w:sz w:val="20"/>
        </w:rPr>
      </w:pPr>
      <w:r>
        <w:rPr>
          <w:rFonts w:ascii="Times New Roman" w:hAnsi="Times New Roman"/>
          <w:sz w:val="20"/>
        </w:rPr>
        <w:t>We are a clinical-stage biotechnology company seeking to leverage our proprietary Diffusphere technology to optimize drug delivery for applications with significant unmet medical need. Each of our product candidates is designed to improve patient benefit by providing more prolonged activity than currently available treatments, combined with an improved pharmacokinetics (“</w:t>
      </w:r>
      <w:r>
        <w:rPr>
          <w:rFonts w:ascii="Times New Roman" w:hAnsi="Times New Roman"/>
          <w:b/>
          <w:sz w:val="20"/>
        </w:rPr>
        <w:t>PK</w:t>
      </w:r>
      <w:r>
        <w:rPr>
          <w:rFonts w:ascii="Times New Roman" w:hAnsi="Times New Roman"/>
          <w:sz w:val="20"/>
        </w:rPr>
        <w:t xml:space="preserve">”) and related safety profile and precisely targeted local delivery. We believe a product with this profile could offer the dual potential of providing long-lasting treatment and being well-tolerated in target and non-target tissues. Our strategy is to develop a portfolio of product candidates based on this delivery technology. </w:t>
      </w:r>
    </w:p>
    <w:p>
      <w:pPr>
        <w:pStyle w:val="TextBody"/>
        <w:bidi w:val="0"/>
        <w:spacing w:before="240" w:after="0"/>
        <w:jc w:val="left"/>
        <w:rPr>
          <w:rFonts w:ascii="Times New Roman" w:hAnsi="Times New Roman"/>
          <w:sz w:val="20"/>
        </w:rPr>
      </w:pPr>
      <w:r>
        <w:rPr>
          <w:rFonts w:ascii="Times New Roman" w:hAnsi="Times New Roman"/>
          <w:sz w:val="20"/>
        </w:rPr>
        <w:t>We currently have two distinct clinical development programs, one targeting EoE and the second targeting chronic OA pain in the knee. Both programs are broadly based upon the same active pharmaceutical ingredient (“</w:t>
      </w:r>
      <w:r>
        <w:rPr>
          <w:rFonts w:ascii="Times New Roman" w:hAnsi="Times New Roman"/>
          <w:b/>
          <w:sz w:val="20"/>
        </w:rPr>
        <w:t>API</w:t>
      </w:r>
      <w:r>
        <w:rPr>
          <w:rFonts w:ascii="Times New Roman" w:hAnsi="Times New Roman"/>
          <w:sz w:val="20"/>
        </w:rPr>
        <w:t>”), fluticasone propionate. The injectable drug is dispensed together with a “vehicle” diluent specifically designed for the target delivery modality and co-administered with the API. The same underlying API and extended-release formulation is being used in both development programs. In the future, we anticipate that therapeutic targets will be differentiated by dosing levels, vehicle and delivery methods and will be distinct product candidates. The product candidate that is being developed specifically for submucosal injections in the GI tract with an initial indication of EoE is referred to as EP-104GI, and the product candidate that is being developed for intra-articular (“</w:t>
      </w:r>
      <w:r>
        <w:rPr>
          <w:rFonts w:ascii="Times New Roman" w:hAnsi="Times New Roman"/>
          <w:b/>
          <w:sz w:val="20"/>
        </w:rPr>
        <w:t>IA</w:t>
      </w:r>
      <w:r>
        <w:rPr>
          <w:rFonts w:ascii="Times New Roman" w:hAnsi="Times New Roman"/>
          <w:sz w:val="20"/>
        </w:rPr>
        <w:t xml:space="preserve">”) injections with an initial indication of knee OA is referred to as EP-104IAR. EP-104 is intended to refer to the extended-release fluticasone propionate encapsulated with the Diffusphere technology, which is used in the formulation of both EP-104GI and EP-104IAR. </w:t>
      </w:r>
    </w:p>
    <w:p>
      <w:pPr>
        <w:pStyle w:val="TextBody"/>
        <w:bidi w:val="0"/>
        <w:spacing w:before="240" w:after="0"/>
        <w:jc w:val="left"/>
        <w:rPr>
          <w:rFonts w:ascii="Times New Roman" w:hAnsi="Times New Roman"/>
          <w:sz w:val="20"/>
        </w:rPr>
      </w:pPr>
      <w:r>
        <w:rPr>
          <w:rFonts w:ascii="Times New Roman" w:hAnsi="Times New Roman"/>
          <w:sz w:val="20"/>
        </w:rPr>
        <w:t>EoE has experienced a global increase in incidence and prevalence over the last decades, particularly in the US and Europe. EoE was classified as rare by the U.S. National Organization for Rare Disorders (“</w:t>
      </w:r>
      <w:r>
        <w:rPr>
          <w:rFonts w:ascii="Times New Roman" w:hAnsi="Times New Roman"/>
          <w:b/>
          <w:sz w:val="20"/>
        </w:rPr>
        <w:t>NORD</w:t>
      </w:r>
      <w:r>
        <w:rPr>
          <w:rFonts w:ascii="Times New Roman" w:hAnsi="Times New Roman"/>
          <w:sz w:val="20"/>
        </w:rPr>
        <w:t xml:space="preserve">”), however a 5- fold increase in the prevalence of EoE reported between 2009 and 2022, has resulted in the disease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longer being considered rare. The increase in prevalence highlights the growing burden of the disease and the need for new treatments. This burden on healthcare systems and patients is further compounded as EoE frequently leads to mental health issues (anxiety, depression, symptoms hypervigilance, social isolation) and hospitalization and ER visits for food bolus impaction.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rapid growth, the most accurate estimates of the incidence and prevalence of EoE are from recently published studies. Thel et al. in 2025 reported a standardized prevalence of 142.5/100 000 in the US, representing &gt;470 000 cases in the US. These numbers were based on patient records from 2022 for patients under 65 (derived from MarketScan), and from patient records from 2017 for patients 65 years and older (derived from Medicare). Given the current growth trajectory, we believe these numbers are likely an underestimate of the current EoE prevalence. Although disease awareness has increased over the years among medical practitioners, these dramatic increases in reports of the incidence and prevalence of EoE appear to be due, at least in part, to a natural raise in cases, as they outpace the rates of diagnostic procedures. Overall, we believe the ongoing global increase in cases and costs of EoE highlight the significant need for novel, safe, efficacious and cost-effective treatments to improve outcomes in the management of the disease. </w:t>
      </w:r>
    </w:p>
    <w:p>
      <w:pPr>
        <w:pStyle w:val="TextBody"/>
        <w:bidi w:val="0"/>
        <w:spacing w:before="240" w:after="0"/>
        <w:jc w:val="left"/>
        <w:rPr>
          <w:rFonts w:ascii="Times New Roman" w:hAnsi="Times New Roman"/>
          <w:sz w:val="20"/>
        </w:rPr>
      </w:pPr>
      <w:r>
        <w:rPr>
          <w:rFonts w:ascii="Times New Roman" w:hAnsi="Times New Roman"/>
          <w:sz w:val="20"/>
        </w:rPr>
        <w:t>We are currently conducting a Phase 1b/2 clinical trial with EP-104GI in Canada, the Netherlands, Australia, the UK, Switzerland and New Zealand. We also received pre-Investigational New Drug (“</w:t>
      </w:r>
      <w:r>
        <w:rPr>
          <w:rFonts w:ascii="Times New Roman" w:hAnsi="Times New Roman"/>
          <w:b/>
          <w:sz w:val="20"/>
        </w:rPr>
        <w:t>IND</w:t>
      </w:r>
      <w:r>
        <w:rPr>
          <w:rFonts w:ascii="Times New Roman" w:hAnsi="Times New Roman"/>
          <w:sz w:val="20"/>
        </w:rPr>
        <w:t xml:space="preserve">”) feedback from the FDA on December 3, 2024, to clarify IND-enabling early phase program requirements for conducting studies in the United States. We intend to continue development of EP-104GI through the ongoing clinical trials and other testing required by the FDA for submission of an NDA to potentially obtain commercial approval for marketing in the United States and around the world. We intend to evaluate the possibility of identifying a corporate partner to help with the development and/or commercialization of EP-104GI in markets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Throughout 2025 and 2026, the Company announced interim data from the RESOLVE Phase 1b/2a clinical trial evaluating the safety and efficacy of EP-104GI for the treatment of EoE. The data to date from all cohorts suggest that EP-104GI continues to be released into the esophagus at a relatively constant rate from week 2 through month 12, and that EP- 104GI will likely be provided on an annual dosing interval. </w:t>
      </w:r>
    </w:p>
    <w:p>
      <w:pPr>
        <w:pStyle w:val="TextBody"/>
        <w:bidi w:val="0"/>
        <w:spacing w:before="240" w:after="0"/>
        <w:jc w:val="left"/>
        <w:rPr>
          <w:rFonts w:ascii="Times New Roman" w:hAnsi="Times New Roman"/>
          <w:sz w:val="20"/>
        </w:rPr>
      </w:pPr>
      <w:r>
        <w:rPr>
          <w:rFonts w:ascii="Times New Roman" w:hAnsi="Times New Roman"/>
          <w:sz w:val="20"/>
        </w:rPr>
        <w:t xml:space="preserve">On July 8, 2025, the Company announced dosing of the first patient in a Phase 2b, randomized, placebo-controlled, dose- optimization portion of the RESOLVE trial. The Phase 2b portion will enroll approximately 120adult patients with a confirmed EoE diagnosis and active EoE symptoms. In this part of the study, an initial 30 patients will be randomized 2:1 to receive EP-104GI 120mg total dose or matching vehicle control. Subsequently, 30 additional patients will be randomized 2:1 to receive 160mg or a matching vehicle control. Then an additional 60 patients will be randomized 1:1:1 to receive 120mg, 160mg or vehicle control. The first patient was dosed in the randomized dose optimization portion of the study on July 7, 2025. Outcomes for safety, pharmacokinetics and efficacy are being collected at multiple timepoints for up to 52 weeks post-dose. Interim data from the Phase 2b portion of the RESOLVE study is expected to be available in Q4 2026. </w:t>
      </w:r>
    </w:p>
    <w:p>
      <w:pPr>
        <w:pStyle w:val="TextBody"/>
        <w:bidi w:val="0"/>
        <w:spacing w:before="240" w:after="0"/>
        <w:jc w:val="left"/>
        <w:rPr>
          <w:rFonts w:ascii="Times New Roman" w:hAnsi="Times New Roman"/>
          <w:sz w:val="20"/>
        </w:rPr>
      </w:pPr>
      <w:r>
        <w:rPr>
          <w:rFonts w:ascii="Times New Roman" w:hAnsi="Times New Roman"/>
          <w:sz w:val="20"/>
        </w:rPr>
        <w:t xml:space="preserve">We have successfully completed a Phase 2b clinical trial with EP-104IAR in knee OA, and in January 2024, held a meeting with the FDA to determine the late-phase program requirements for an NDA submission and potential approval in the United States. We believe that the future success of the product candidate will be dependent on late phase development and commercialization expertise and will require significant resources. We are currently evaluating funding alternatives for the continued development of EP-104IAR, including potential partnership opportunities and intend to modulate investment levels pending the outcome of this evaluation. We intend to use our capital resources previously identified for EP-104IAR development to continue development of EP-104GI. </w:t>
      </w:r>
    </w:p>
    <w:p>
      <w:pPr>
        <w:pStyle w:val="TextBody"/>
        <w:bidi w:val="0"/>
        <w:spacing w:before="240" w:after="0"/>
        <w:jc w:val="left"/>
        <w:rPr>
          <w:rFonts w:ascii="Times New Roman" w:hAnsi="Times New Roman"/>
          <w:sz w:val="20"/>
        </w:rPr>
      </w:pPr>
      <w:r>
        <w:rPr>
          <w:rFonts w:ascii="Times New Roman" w:hAnsi="Times New Roman"/>
          <w:sz w:val="20"/>
        </w:rPr>
        <w:t>Further information regarding the business of the Company can be found in our Annual Information Form and the other documents incorporated by reference into this prospectus available on SEDAR+ at www.sedarplus.ca and on EDGAR at www.sec.gov. See “</w:t>
      </w:r>
      <w:r>
        <w:rPr>
          <w:rFonts w:ascii="Times New Roman" w:hAnsi="Times New Roman"/>
          <w:i/>
          <w:sz w:val="20"/>
        </w:rPr>
        <w:t>Documents Incorporated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42683_5"/>
      <w:bookmarkEnd w:id="1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Before making an investment decision, prospective purchasers of Securities should carefully consider the information described in this prospectus, any applicable prospectus supplement and the documents incorporated by reference herein and therein. Additional risk factors relating to a specific offering of Securities may be described in the applicable prospectus supplement. Some of the risk factors described herein, in any applicable prospectus supplement and in the documents incorporated by reference herein and therein, are interrelated and, consequently, investors should treat such risk factors as a whole. If any event arising from these risks occurs, our business, prospects, financial condition, results of operations and cash flows, and your investment in the Securities could be materially adversely affected. Additional risks and uncertainties of which we currently are unaware or that are unknown or that we currently deem to be immaterial could have a material adverse effect on our current and projected business, operations and our financial condition and results of operations. Our Risk Factors are not guarantees that no such conditions exist as of the date of this prospectus and should not be interpreted as an affirmative statement that such risks or conditions have not materialized, in whole or in part. We cannot assure you that we will successfully address any or all of these risks. For additional information in respect of the risks affecting our business, see the section “</w:t>
      </w:r>
      <w:r>
        <w:rPr>
          <w:rFonts w:ascii="Times New Roman" w:hAnsi="Times New Roman"/>
          <w:i/>
          <w:sz w:val="20"/>
        </w:rPr>
        <w:t>Risk Factors</w:t>
      </w:r>
      <w:r>
        <w:rPr>
          <w:rFonts w:ascii="Times New Roman" w:hAnsi="Times New Roman"/>
          <w:sz w:val="20"/>
        </w:rPr>
        <w:t>” of our Annual Information Form, which is incorporated herein by reference and is available under our profile on SEDAR+ at www.sedarplus.ca and as an Exhibit to our Annual Report on Form 40-F on EDGAR at www.sec.gov</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New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Investing in the Securities is speculative, and investors could lose their entire investment. </w:t>
      </w:r>
    </w:p>
    <w:p>
      <w:pPr>
        <w:pStyle w:val="TextBody"/>
        <w:bidi w:val="0"/>
        <w:spacing w:before="120" w:after="0"/>
        <w:jc w:val="left"/>
        <w:rPr>
          <w:rFonts w:ascii="Times New Roman" w:hAnsi="Times New Roman"/>
          <w:sz w:val="20"/>
        </w:rPr>
      </w:pPr>
      <w:r>
        <w:rPr>
          <w:rFonts w:ascii="Times New Roman" w:hAnsi="Times New Roman"/>
          <w:sz w:val="20"/>
        </w:rPr>
        <w:t xml:space="preserve">An investment in the Securities is speculative and may result in the loss of an investor’s entire investment. Only potential investors who are experienced in high-risk investments and who can afford to lose their entire investment should consider an investment in the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outstanding Series 1 Preferred Shares, and any issuance of preferred shares could make it difficult for another company to acquire us or could otherwise adversely affect holders of our Common Shares, which could depress the price of our Common Shares. </w:t>
      </w:r>
    </w:p>
    <w:p>
      <w:pPr>
        <w:pStyle w:val="TextBody"/>
        <w:bidi w:val="0"/>
        <w:spacing w:before="120" w:after="0"/>
        <w:jc w:val="left"/>
        <w:rPr>
          <w:rFonts w:ascii="Times New Roman" w:hAnsi="Times New Roman"/>
          <w:sz w:val="20"/>
        </w:rPr>
      </w:pPr>
      <w:r>
        <w:rPr>
          <w:rFonts w:ascii="Times New Roman" w:hAnsi="Times New Roman"/>
          <w:sz w:val="20"/>
        </w:rPr>
        <w:t>Our board of directors (the “</w:t>
      </w:r>
      <w:r>
        <w:rPr>
          <w:rFonts w:ascii="Times New Roman" w:hAnsi="Times New Roman"/>
          <w:b/>
          <w:sz w:val="20"/>
        </w:rPr>
        <w:t>Board</w:t>
      </w:r>
      <w:r>
        <w:rPr>
          <w:rFonts w:ascii="Times New Roman" w:hAnsi="Times New Roman"/>
          <w:sz w:val="20"/>
        </w:rPr>
        <w:t xml:space="preserve">”) has the authority to issue preferred shares and to determine the preferences, limitations and relative rights of preferred shares and to fix the number of shares constituting any series and the designation of such series, without any further vote or action by our shareholders. The Company currently has 8,295,638 Series 1 Preferred Shares issued and outstanding, and may issue additional preferred shares in the future. Our preferred shares may be issued with liquidation, dividend and other rights superior to the rights of our Common Shares. The potential issuance of preferred shares may delay or prevent a change in control of the Company, discourage bids for our Common Shares at a premium over the market price and adversely affect the market price and other rights of the holders of our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constating documents permit us to issue an unlimited number of Common Shares without additional shareholder approval. </w:t>
      </w:r>
    </w:p>
    <w:p>
      <w:pPr>
        <w:pStyle w:val="TextBody"/>
        <w:bidi w:val="0"/>
        <w:spacing w:before="120" w:after="0"/>
        <w:jc w:val="left"/>
        <w:rPr>
          <w:rFonts w:ascii="Times New Roman" w:hAnsi="Times New Roman"/>
          <w:sz w:val="20"/>
        </w:rPr>
      </w:pPr>
      <w:r>
        <w:rPr>
          <w:rFonts w:ascii="Times New Roman" w:hAnsi="Times New Roman"/>
          <w:sz w:val="20"/>
        </w:rPr>
        <w:t>Our notice of articles and articles (the “</w:t>
      </w:r>
      <w:r>
        <w:rPr>
          <w:rFonts w:ascii="Times New Roman" w:hAnsi="Times New Roman"/>
          <w:b/>
          <w:sz w:val="20"/>
        </w:rPr>
        <w:t>Articles</w:t>
      </w:r>
      <w:r>
        <w:rPr>
          <w:rFonts w:ascii="Times New Roman" w:hAnsi="Times New Roman"/>
          <w:sz w:val="20"/>
        </w:rPr>
        <w:t xml:space="preserve">”) permit us to issue an unlimited number of Common Shares. We anticipate that we will, from time to time, issue additional Common Shares in the future. Subject to the requirements of the TSX and Nasdaq, we will not be required to obtain the approval of shareholders for the issuance of additional Common Shares. Any further issuances of Common Shares will result in immediate dilution to existing shareholders and may have an adverse effect on the value of their shareholdings.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history of negative operating cash flow and may continue to experience negative operating cash flow. </w:t>
      </w:r>
    </w:p>
    <w:p>
      <w:pPr>
        <w:pStyle w:val="TextBody"/>
        <w:bidi w:val="0"/>
        <w:spacing w:before="120" w:after="0"/>
        <w:jc w:val="left"/>
        <w:rPr>
          <w:rFonts w:ascii="Times New Roman" w:hAnsi="Times New Roman"/>
          <w:sz w:val="20"/>
        </w:rPr>
      </w:pPr>
      <w:r>
        <w:rPr>
          <w:rFonts w:ascii="Times New Roman" w:hAnsi="Times New Roman"/>
          <w:sz w:val="20"/>
        </w:rPr>
        <w:t xml:space="preserve">Since its incorporation in May 2011, the Company has generated negative operating cash flows. The Company anticipates that it will continue to have negative cash flow and it expects to continue to incur losses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foreseeable future as the Company continues to research and develop, and seek regulatory clearances for, its current product candidates and other potential product candidates. To the extent that the Company has negative operating cash flow in future periods, it may need to allocate a portion of its cash reserves to fund such negative cash flow. The Company may also be required to raise additional funds through the issuance of equity or debt securities. There can be no assurance that the Company will be able to generate a positive cash flow from its operations, that additional capital or other types of financing will be available when needed or that these financings will be on terms favourable to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shareholders, including purchasers, restrict our operations or require us to relinquish rights to our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the Company can generate substantial product revenue, the Company expects to finance its cash needs through equity offerings, debt financings, or other capital sources, including potential collaborations, licenses and other similar arrangements. The Company does not have any committed external source of funds. To the extent that the Company raises additional capital through the sale of equity or convertible debt securities, your ownership interest may be diluted, and the terms of these securities may include liquidation or other preferences that adversely affect your rights as a common shareholder. The Company is authorized to issue an unlimited number of Common Shares. Debt financing and preferred equity financing, if available, may involve agreements that include covenants limiting or restricting the Company’s ability to take specific actions, such as incurring additional debt, making capital expenditures or declaring dividends. Such restrictions could adversely impact our ability to conduct the Company’s operations and execute its business plan.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raises additional funds through future collaborations, licenses and other similar arrangements, it may be required to relinquish valuable rights to its future revenue streams, product candidates, research programs, intellectual property or proprietary technology, or grant licenses on terms that may not be favorable to it and/or that may reduce the value of the Common Shares. If the Company is unable to raise additional funds through equity or debt financings or other arrangements when needed or on terms acceptable to it, the Company would be required to delay, limit, reduce or terminate its product development or future commercialization efforts, or grant rights to develop and market product candidates that it might otherwise prefer to develop and market ourselves, or on less favorable terms than the Company would otherwise choose.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exercise of stock options could cause dilution.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outstanding stock options representing a right to receive Common Shares upon vesting and the exercise of the stock options. The exercise of stock options, and the subsequent resale of such Common Shares in the public market, could adversely affect the prevailing market price of the Common Shares and the Company’s ability to raise equity capital in the future at a time and price which it deems appropriate. The Company may also enter into commitments in the future which would require the issuance of additional Common Shares and the Company is expected to grant additional stock options. Any Common Shares issuances from the Company’s treasury will result in immediate dilution to existing shareholders’ percentage interest 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warrants, Series 1 Preferred Shares convertible into Common Shares, and shares of a subsidiary exchangeable for Common Shares outstanding, which in each case, if exercised, converted or exchanged, respectively, could cause dilution to existing shareholders. </w:t>
      </w:r>
    </w:p>
    <w:p>
      <w:pPr>
        <w:pStyle w:val="TextBody"/>
        <w:bidi w:val="0"/>
        <w:spacing w:before="120" w:after="0"/>
        <w:jc w:val="left"/>
        <w:rPr>
          <w:rFonts w:ascii="Times New Roman" w:hAnsi="Times New Roman"/>
          <w:sz w:val="20"/>
        </w:rPr>
      </w:pPr>
      <w:r>
        <w:rPr>
          <w:rFonts w:ascii="Times New Roman" w:hAnsi="Times New Roman"/>
          <w:sz w:val="20"/>
        </w:rPr>
        <w:t xml:space="preserve">In addition, we have outstanding stock options representing a right to receive common shares upon vesting and the exercise of the stock options, outstanding warrants that are exercisable for common shares, and Series 1 Preferred Shares that are convertible into common shares. Pursuant to the terms of our amended and restated stock option plan, the number of common shares we may grant under such plan will automatically increase upon the closing of this offering such that the aggregate number of common shares that may be reserved for issuance under the stock option plan equals 18.5% of our outstanding common shares. Furthermore, Eupraxia Pharma Inc., our subsidiary, has non-voting Class B shares outstanding that are exchangeable into common shares at any time at the election of the holder. The exercise of stock options and warrants, the conversion of Series 1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into common shares, and the exchange of such Class B shares and the subsequent resale of such common shares in the public market, could adversely affect the prevailing market price of the common shares and our ability to raise equity capital in the future at a time and price which we deem appropriate. We may also enter into commitments in the future which would require the issuance of additional common shares and we are expected to grant additional stock options. Any common shares issuances from our treasury will result in immediate dilution to existing shareholders’ percentage interest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Common Shares may have limited liquidity. </w:t>
      </w:r>
    </w:p>
    <w:p>
      <w:pPr>
        <w:pStyle w:val="TextBody"/>
        <w:bidi w:val="0"/>
        <w:spacing w:before="120" w:after="0"/>
        <w:jc w:val="left"/>
        <w:rPr>
          <w:rFonts w:ascii="Times New Roman" w:hAnsi="Times New Roman"/>
          <w:sz w:val="20"/>
        </w:rPr>
      </w:pPr>
      <w:r>
        <w:rPr>
          <w:rFonts w:ascii="Times New Roman" w:hAnsi="Times New Roman"/>
          <w:sz w:val="20"/>
        </w:rPr>
        <w:t xml:space="preserve">Shareholders of the Company may be unable to sell significant quantities of Common Shares into the public trading markets without a significant reduction in the price of their Common Shares, or at all. There can be no assurance that there will be sufficient liquidity of the Common Shares on the trading market, and that the Company will continue to meet the listing requirements of the TSX, maintain a listing on Nasdaq, or achieve or maintain a listing on any other securities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is no established market for certain securities, and the Company cannot assure you that an active market will develop for Common Shares on Nasdaq. </w:t>
      </w:r>
    </w:p>
    <w:p>
      <w:pPr>
        <w:pStyle w:val="TextBody"/>
        <w:bidi w:val="0"/>
        <w:spacing w:before="120" w:after="0"/>
        <w:jc w:val="left"/>
        <w:rPr>
          <w:rFonts w:ascii="Times New Roman" w:hAnsi="Times New Roman"/>
          <w:sz w:val="20"/>
        </w:rPr>
      </w:pPr>
      <w:r>
        <w:rPr>
          <w:rFonts w:ascii="Times New Roman" w:hAnsi="Times New Roman"/>
          <w:sz w:val="20"/>
        </w:rPr>
        <w:t xml:space="preserve">There is no public market for the preferred shares, debt securities, warrants, subscription receipts or units contemplated by this prospectus and, unless otherwise specified in the applicable prospectus supplement, the Company does not intend to apply for listing of the preferred shares, debt securities, warrants, subscription receipts or units on any securities exchanges. If the preferred shares, debt securities, warrants, subscription receipts or units are traded after their initial issuance, they may trade at a discount from their initial offering prices depending on prevailing interest rates (as applicable), the market for similar securities and other factors, including general economic conditions and our financial condition. There can be no assurance as to the liquidity of the trading market for the preferred shares, debt securities, warrants, subscription receipts or units, or that a trading market for these securities will develop at all. </w:t>
      </w:r>
    </w:p>
    <w:p>
      <w:pPr>
        <w:pStyle w:val="TextBody"/>
        <w:bidi w:val="0"/>
        <w:spacing w:before="240" w:after="0"/>
        <w:jc w:val="left"/>
        <w:rPr>
          <w:rFonts w:ascii="Times New Roman" w:hAnsi="Times New Roman"/>
          <w:sz w:val="20"/>
        </w:rPr>
      </w:pPr>
      <w:r>
        <w:rPr>
          <w:rFonts w:ascii="Times New Roman" w:hAnsi="Times New Roman"/>
          <w:sz w:val="20"/>
        </w:rPr>
        <w:t xml:space="preserve">Further, the Common Shares are listed on the TSX and on Nasdaq under the symbol “EPRX”. The Company cannot assure you that its listing of the Common Shares on the TSX and Nasdaq will be maintained, or that an active trading market for the Common Shares will be sustained. Accordingly, the Company cannot assure you of the liquidity of any trading market, your ability to sell the Common Shares when desired or the prices that you may obtain for your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debt securities may be unsecured. </w:t>
      </w:r>
    </w:p>
    <w:p>
      <w:pPr>
        <w:pStyle w:val="TextBody"/>
        <w:bidi w:val="0"/>
        <w:spacing w:before="120" w:after="0"/>
        <w:jc w:val="left"/>
        <w:rPr>
          <w:rFonts w:ascii="Times New Roman" w:hAnsi="Times New Roman"/>
          <w:sz w:val="20"/>
        </w:rPr>
      </w:pPr>
      <w:r>
        <w:rPr>
          <w:rFonts w:ascii="Times New Roman" w:hAnsi="Times New Roman"/>
          <w:sz w:val="20"/>
        </w:rPr>
        <w:t>Unless otherwise indicated in the applicable prospectus supplement, the debt securities may be unsecured and will rank equally in right of payment with all our other existing and future unsecured debt. Any unsecured debt securities will be effectively subordinated to all our existing and future secured debt to the extent of the assets securing such debt. If we are involved in any bankruptcy, dissolution, liquidation or reorganization, the secured debt holders would, to the extent of the value of the assets securing the secured debt, be paid before the holders of unsecured debt securities, including the debt securities. In that event, a holder of debt securities may not be able to recover any principal or interest due to it under the debt securities. See “</w:t>
      </w:r>
      <w:r>
        <w:rPr>
          <w:rFonts w:ascii="Times New Roman" w:hAnsi="Times New Roman"/>
          <w:i/>
          <w:sz w:val="20"/>
        </w:rPr>
        <w:t>Description of Debt Securities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Prevailing interest rates may affect the market price or value of any debt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Prevailing interest rates may affect the market price or value of any debt securities. The market price or value of any debt securities may decline as prevailing interest rates for comparable debt instruments rise and increase as prevailing interest rates for comparable debt instruments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Fluctuations in foreign currency markets may affect the market price or value of any of debt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 These risks include, without limitation, the possibility of significant fluctuations in the foreign currency markets, the imposition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modification of foreign exchange controls and potential liquidity restrictions in the secondary market. These risks will vary depending upon the currency or currencies involved and will be more fully described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investors may not be able to obtain enforcement of civil liabilities against us. </w:t>
      </w:r>
    </w:p>
    <w:p>
      <w:pPr>
        <w:pStyle w:val="TextBody"/>
        <w:bidi w:val="0"/>
        <w:spacing w:before="120" w:after="0"/>
        <w:jc w:val="left"/>
        <w:rPr>
          <w:rFonts w:ascii="Times New Roman" w:hAnsi="Times New Roman"/>
          <w:sz w:val="20"/>
        </w:rPr>
      </w:pPr>
      <w:r>
        <w:rPr>
          <w:rFonts w:ascii="Times New Roman" w:hAnsi="Times New Roman"/>
          <w:sz w:val="20"/>
        </w:rPr>
        <w:t xml:space="preserve">The enforcement by investors of civil liabilities under the U.S. federal or state securities laws may be affected adversely by the fact that we are governed by the </w:t>
      </w:r>
      <w:r>
        <w:rPr>
          <w:rFonts w:ascii="Times New Roman" w:hAnsi="Times New Roman"/>
          <w:i/>
          <w:sz w:val="20"/>
        </w:rPr>
        <w:t xml:space="preserve">Business Corporations Act </w:t>
      </w:r>
      <w:r>
        <w:rPr>
          <w:rFonts w:ascii="Times New Roman" w:hAnsi="Times New Roman"/>
          <w:sz w:val="20"/>
        </w:rPr>
        <w:t xml:space="preserve">(British Columbia), that the majority of our officers and directors are residents of Canada or otherwise reside outside the United States, and that all, or a substantial portion of their assets and a substantial portion of our assets, are located outside the United States. It may not be possible for investors to effect service of process within the United States on certain of our directors and officers or enforce judgments obtained in the United States courts against us or certain of our directors and officers based upon the civil liability provisions of United States federal securities laws or the securities laws of any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There is some doubt as to whether a judgment of a U.S. court based solely upon the civil liability provisions of U.S. federal or state securities laws would be enforceable in Canada against us or our directors and officers. There is also doubt as to whether an original action could be brought in Canada against us or our directors and officers to enforce liabilities based solely upon U.S.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foreign private issuer, we are subject to different U.S. securities laws and rules than a domestic U.S. issuer, which may limit the information publicly available to our U.S. holders. </w:t>
      </w:r>
    </w:p>
    <w:p>
      <w:pPr>
        <w:pStyle w:val="TextBody"/>
        <w:bidi w:val="0"/>
        <w:spacing w:before="120" w:after="0"/>
        <w:jc w:val="left"/>
        <w:rPr>
          <w:rFonts w:ascii="Times New Roman" w:hAnsi="Times New Roman"/>
          <w:sz w:val="20"/>
        </w:rPr>
      </w:pPr>
      <w:r>
        <w:rPr>
          <w:rFonts w:ascii="Times New Roman" w:hAnsi="Times New Roman"/>
          <w:sz w:val="20"/>
        </w:rPr>
        <w:t xml:space="preserve">We are a foreign private issuer under applicable U.S. federal securities laws and, therefore, we are not required to comply with all the periodic disclosure and current reporting requirements of the U.S. Exchange Act. and related rules and regulations, applicable to U.S. domestic issuers. We do not file all of the same reports that a U.S. domestic issuer would file with the SEC, although we are required to file with or furnish to the SEC the continuous disclosure documents that we are required to file in Canada under Canadian securities laws. In addition, our officers, directors and principal shareholders are exempt from the reporting and “short swing” profit recovery provisions of Section 16 of the U.S. Exchange Act. Therefore, our shareholders may not know on as timely a basis when our officers, directors and principal shareholders purchase or sell Common Shares as the reporting periods under the corresponding Canadian insider reporting requirements are longer. In addition, as a foreign private issuer, we are exempt from the proxy rules under the U.S. Exchange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our foreign private issuer status in the future, which could result in significant additional costs and expenses to us. </w:t>
      </w:r>
    </w:p>
    <w:p>
      <w:pPr>
        <w:pStyle w:val="TextBody"/>
        <w:bidi w:val="0"/>
        <w:spacing w:before="120" w:after="0"/>
        <w:jc w:val="left"/>
        <w:rPr>
          <w:rFonts w:ascii="Times New Roman" w:hAnsi="Times New Roman"/>
          <w:sz w:val="20"/>
        </w:rPr>
      </w:pPr>
      <w:r>
        <w:rPr>
          <w:rFonts w:ascii="Times New Roman" w:hAnsi="Times New Roman"/>
          <w:sz w:val="20"/>
        </w:rPr>
        <w:t xml:space="preserve">In order to maintain our current status as a foreign private issuer, a majority of our Common Shares must be either directly or indirectly owned by non-residents of the United States unless we also satisfy one of the additional requirements necessary to preserve this status. We may in the future lose our foreign private issuer status if a majority of the Common Shares are held in the United States and we fail to meet the additional requirements necessary to avoid loss of foreign private issuer status. The regulatory and compliance costs to us under U.S. federal securities laws as a U.S. domestic issuer may be significantly more than the costs we incur as a Canadian foreign private issuer eligible to use the MJDS. If we are not a foreign private issuer, we would not be eligible to use the MJDS or other foreign issuer forms and would be required to file periodic and current reports and registration statements on U.S. domestic issuer forms with the SEC, which are more detailed and extensive than the forms available to a foreign private issuer. We may lose the ability to rely upon exemptions from Nasdaq corporate governance requirements that are available to foreign private issuers.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holders of our shares may suffer adverse tax consequences if we are characterized as a passive foreign investment company. </w:t>
      </w:r>
    </w:p>
    <w:p>
      <w:pPr>
        <w:pStyle w:val="TextBody"/>
        <w:bidi w:val="0"/>
        <w:spacing w:before="120" w:after="0"/>
        <w:jc w:val="left"/>
        <w:rPr>
          <w:rFonts w:ascii="Times New Roman" w:hAnsi="Times New Roman"/>
          <w:sz w:val="20"/>
        </w:rPr>
      </w:pPr>
      <w:r>
        <w:rPr>
          <w:rFonts w:ascii="Times New Roman" w:hAnsi="Times New Roman"/>
          <w:sz w:val="20"/>
        </w:rPr>
        <w:t>We may be treated as a passive foreign investment company (“</w:t>
      </w:r>
      <w:r>
        <w:rPr>
          <w:rFonts w:ascii="Times New Roman" w:hAnsi="Times New Roman"/>
          <w:b/>
          <w:sz w:val="20"/>
        </w:rPr>
        <w:t>PFIC</w:t>
      </w:r>
      <w:r>
        <w:rPr>
          <w:rFonts w:ascii="Times New Roman" w:hAnsi="Times New Roman"/>
          <w:sz w:val="20"/>
        </w:rPr>
        <w:t xml:space="preserve">”) for U.S. federal income tax purposes, in which case U.S. holders would be subject to a special, generally adverse tax regime. Generally, for any taxable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 in which 75% or more of our gross income is passive income, or at least 50% of the value of our assets (as determined under applicable U.S. Treasury Regulations, which may be determined in part by the market value of our shares, which is subject to change) are held for the production of, or produce, passive income, we would be characterized as a PFIC for U.S. federal income tax purposes. We will be treated as owning the proportionate share of the assets and earning the proportionate share of the income of any other corporation, the equity of which we own, directly or indirectly, 25% or more (by value). We have not completed a formal assessment of our status as a PFIC for 2025 or for the current taxable year; however, based on our gross income and gross assets, we believe that we were a PFIC for the taxable year ending December 31, 2025, and may be a PFIC for subsequent taxable years. Our status as a PFIC is a fact-intensive determination, and we cannot provide any assurance regarding our PFIC status for the current taxable year or future taxable years.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year, U.S. holders of our shares may suffer adverse tax consequences. If we are a PFIC in any year with respect to which a U.S. holder owns our shares, we will continue to be treated as a PFIC with respect to such U.S. holder in all succeeding years during which the U.S. holder owns our shares, whether or not we remain a PFIC unless such U.S. holder makes a qualified electing fund or mark-to-market election. Gains realized by non-corporate U.S. holders on the sale of our shares would be taxed as ordinary income, rather than as capital gain, and the preferential tax rate applicable to dividends received on our Common Shares would be lost. Interest charges would also be added to taxes on gains on disposition of our shares and dividends realized by all U.S. holders. U.S. holders should consult their own tax advisors with respect to their particular circumstances. In order to make either a qualified electing fund or mark-to-market election certain requirements must be met. We cannot provide any assurances that these requirements will be met in order for U.S. holders to be able to make a qualified electing fund or mark-to-market election. U.S. holders should consult their tax advisors regarding the potential application of these rules to their investment in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PFIC rules, including the rules governing any elections that may potentially be made by a U.S. Holder, are extremely complex. Each U.S. holder should consult its own tax advisor regarding our potential PFIC status and how the PFIC rules (including elections that may be available thereunder) would affect the U.S. federal income tax consequences of the acquisition, ownership and disposition of our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will have broad discretion over the use of proceeds from sales of the Securities, and we may not use the proceeds in the desired manner. </w:t>
      </w:r>
    </w:p>
    <w:p>
      <w:pPr>
        <w:pStyle w:val="TextBody"/>
        <w:bidi w:val="0"/>
        <w:spacing w:before="120" w:after="0"/>
        <w:jc w:val="left"/>
        <w:rPr>
          <w:rFonts w:ascii="Times New Roman" w:hAnsi="Times New Roman"/>
          <w:sz w:val="20"/>
        </w:rPr>
      </w:pPr>
      <w:r>
        <w:rPr>
          <w:rFonts w:ascii="Times New Roman" w:hAnsi="Times New Roman"/>
          <w:sz w:val="20"/>
        </w:rPr>
        <w:t>Our management will have discretion concerning the use of the proceeds from sales of the Securities as well as the timing of their expenditure. As a result, an investor will be relying on the judgment of management for the application of the proceeds from sales of the Securities. Our management may use the net proceeds from sales of the Securities other than as described under the heading “</w:t>
      </w:r>
      <w:r>
        <w:rPr>
          <w:rFonts w:ascii="Times New Roman" w:hAnsi="Times New Roman"/>
          <w:i/>
          <w:sz w:val="20"/>
        </w:rPr>
        <w:t>Use of Proceeds</w:t>
      </w:r>
      <w:r>
        <w:rPr>
          <w:rFonts w:ascii="Times New Roman" w:hAnsi="Times New Roman"/>
          <w:sz w:val="20"/>
        </w:rPr>
        <w:t>” if they believe it would be in our best interest to do so and in ways that an investor may not consider desirable. The results and the effectiveness of the application of the proceeds are uncertain. If the proceeds are not applied effectively, our results of operations may suffer</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Company’s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have no products approved for commercial sale, which may make it difficult for you to evaluate our current business and predict our future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 stage biotechnology company with limited operating history and in particular, no history of earnings; we have not paid any dividends and we are unlikely to pay any dividends in the immediate or foreseeable future. Our success will depend to a large extent on the expertise, ability, judgement, discretion, integrity and good faith of our management.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 products approved for commercial sale in any jurisdiction and have not generated any revenue from product sales. To date, we have devoted substantially all of our resources and efforts to organizing and staffing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company, business planning, discovering, identifying and developing potential product candidates, securing related intellectual property rights and conducting preclinical studies and clinical trials of our product candidates.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encounter unforeseen expenses, difficulties, complications, delays and other known and unknown factors and risks frequently experienced by clinical stage pharmaceutical companies in rapidly evolving fields. We also may need to transition from a company with a research focus to a company capable of supporting commercial activities, or enter into strategic partnerships with one or more companies with such capability. If we do not adequately address these risks and difficulties or successfully make such a transition, our business will suffer. </w:t>
      </w:r>
    </w:p>
    <w:p>
      <w:pPr>
        <w:pStyle w:val="TextBody"/>
        <w:bidi w:val="0"/>
        <w:spacing w:before="240" w:after="0"/>
        <w:jc w:val="left"/>
        <w:rPr>
          <w:rFonts w:ascii="Times New Roman" w:hAnsi="Times New Roman"/>
          <w:sz w:val="20"/>
        </w:rPr>
      </w:pPr>
      <w:r>
        <w:rPr>
          <w:rFonts w:ascii="Times New Roman" w:hAnsi="Times New Roman"/>
          <w:sz w:val="20"/>
        </w:rPr>
        <w:t xml:space="preserve">We expect to spend a significant amount of capital to fund research and development. As a result, we expect that our operating expenses will increase significantly and, consequently, we will need to generate significant revenues to become profitable. Even if we do become profitable, we may not be able to sustain or increase profitability on a quarterly or annual basis. We cannot predict when, if ever, we will be profitable. There can be no assurances that we will be capable of producing products, if marketing authorization is received, in commercial quantities at reasonable costs or that we will successfully market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require substantial additional financing to achieve our goals and a failure to obtain this necessary capital when needed could force us to delay, limit, reduce or terminate our product development or commercialization efforts. </w:t>
      </w:r>
    </w:p>
    <w:p>
      <w:pPr>
        <w:pStyle w:val="TextBody"/>
        <w:bidi w:val="0"/>
        <w:spacing w:before="120" w:after="0"/>
        <w:jc w:val="left"/>
        <w:rPr>
          <w:rFonts w:ascii="Times New Roman" w:hAnsi="Times New Roman"/>
          <w:sz w:val="20"/>
        </w:rPr>
      </w:pPr>
      <w:r>
        <w:rPr>
          <w:rFonts w:ascii="Times New Roman" w:hAnsi="Times New Roman"/>
          <w:sz w:val="20"/>
        </w:rPr>
        <w:t>As of March 31, 2026, we had $58.5 million of cash and cash equivalents. We anticipate our cash resources will be sufficient to fund the Company into the second half of 2028. We believe that we will continue to expend substantial resources for the foreseeable future as we continue the development of EP-104. Additionally, we expect to expend resources as we develop additional product candidates, if any, launch clinical trials and pursue commercialization of such product candidates, if approved. In addition, other unanticipated costs may arise. Because the outcome of our planned and anticipated clinical trials are highly uncertain, we cannot reasonably estimate the actual amounts necessary to successfully complete the development and commercialization of product candidates, if approved. Our costs will increase if we suffer any delays in our planned clinical trials for our current product candidates. Our forecast of the period of time through which our financial reserves will adequately support our operations is a forward-looking statement and involves risks and uncertainties, and actual results could vary as a result of a number of factors, including the factors discussed elsewhere in this “</w:t>
      </w:r>
      <w:r>
        <w:rPr>
          <w:rFonts w:ascii="Times New Roman" w:hAnsi="Times New Roman"/>
          <w:i/>
          <w:sz w:val="20"/>
        </w:rPr>
        <w:t>Risk Factors</w:t>
      </w:r>
      <w:r>
        <w:rPr>
          <w:rFonts w:ascii="Times New Roman" w:hAnsi="Times New Roman"/>
          <w:sz w:val="20"/>
        </w:rPr>
        <w:t xml:space="preserve">” section. We have based this estimate on assumptions that may prove to be wrong, and we could utilize our available capital resources sooner than we currently expect. </w:t>
      </w:r>
    </w:p>
    <w:p>
      <w:pPr>
        <w:pStyle w:val="TextBody"/>
        <w:bidi w:val="0"/>
        <w:spacing w:before="240" w:after="0"/>
        <w:jc w:val="left"/>
        <w:rPr>
          <w:rFonts w:ascii="Times New Roman" w:hAnsi="Times New Roman"/>
          <w:sz w:val="20"/>
        </w:rPr>
      </w:pPr>
      <w:r>
        <w:rPr>
          <w:rFonts w:ascii="Times New Roman" w:hAnsi="Times New Roman"/>
          <w:sz w:val="20"/>
        </w:rPr>
        <w:t xml:space="preserve">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regulatory approvals for product candidates if clinical trials are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developing and advancing product candidates through clinical trials and researching and discovering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strategic partnerships, licensing or other arrangements and the financial terms of such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product candidates for clinical trials in preparation for regulatory approval and in preparation for commercialization,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 from an approved product candidate, if any;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preparing, filing, prosecuting, maintaining, defending and enforcing patent claims, including litigation costs and the outcome of such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ongoing economic slowdown and downturn of global capital markets has generally made the raising of capital by equity or debt financing more difficult. Access to financing has been negatively impacted by ongoing global economic risks. We will require substantial additional funds for further research and development, and the marketing and sale of our technology. We may attempt to raise additional funds for these purposes through public or private equity or debt financing, collaborations with other therapeutic companies, government grants or other sources. There can be no assurance that additional funding or partnerships will be available on terms acceptable to us, and which would foster the successful commercialization of our technologies. If additional funds are raised through further issuances of equity or convertible debt securities, existing shareholders could suffer significant dilution, and any new equity securities issued could have rights, preferences and privileges superior to those of the Common Shares. Any debt financing secured in the future could involve restrictive covenants relating to capital raising activities and other financial and operational matters, which may make it more difficult for us to obtain additional capital or to pursue business opportunities, including potential acquisitions. If adequate funds are not obtained, we may be required to reduce, curtail or discontinue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substantially dependent on the success of our lead product candidates EP-104GI, which is currently being studied in an open label Phase 1b/2a clinical study and a randomized, controlled Phase 2b clinical study, and EP-104IAR, for which we are evaluating funding alternatives for the continued development, including potential partnership opportunities. If we are unable to complete development of, obtain approval for and commercialize EP-104GI or EP-104IAR, alone or through a potential partnership, in a timely manner, our business will be harmed.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is dependent on our ability to timely complete clinical trials, obtain marketing approval for and successfully commercialize our lead product candidates, EP-104GI, and EP-104IAR. We have invested significant efforts and financial resources in the research and development of EP-104GI and EP-104IAR. We are conducting a Phase 1b/2a open label clinical trial and a Phase 2b randomized, controlled clinical trial for the proposed indication of EoE and have conducted a Phase 2 clinical trial for the proposed indication of OA. Both indications will require additional clinical development, evaluation of clinical, preclinical and manufacturing activities, marketing approval from government regulators, substantial investment and significant marketing efforts before we can generate any revenues from sales of any approved products. In addition, we are evaluating funding alternatives for the continued development of EP-104IAR, including potential partnership opportunities. If we are unable to secure such funding, we may ultimately discontinue our efforts with respect to this candidate. We are not permitted to market or promote EP-104GI, EP-104IAR or any other product candidate before we receive marketing approval from the FDA and/or comparable foreign regulatory authorities, and we may never receive such marketing approval.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generate revenue and achieve profitability depends significantly on several factors,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non-clinical and clinical development of our product candidates and any future product candidates, as well as the associated costs, including any unforeseen costs we may incur as a result of non-clinical study or clinical trial delays due to public health crises or other causes;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and successful patient enrollment and completion of additional clinical trials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relationships with CROs and clinical sites for the clinical development, both in the United States and internationally, of our product candidates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strategic partnerships for the development and commercialization of our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frequency and severity of adverse events in the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safety and tolerability profiles that are satisfactory to the FDA, EMA, Health Canada or any comparable foreign regulatory authority for obtaining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from applicable regulatory authorities for any product candidates for which we successfully complete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and complying with any required post-marketing approval commitments to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an efficient and scalable manufacturing process for our product candidates, including obtaining finished products that are appropriately packaged for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commercial launch following any marketing approval, including the development of a commercial infrastructure, whether in-house or with one or more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continued acceptable safety profile following any marketing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acceptance of our product candidates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assessing and developing new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and expanding patent protection, trade secret protection and/or regulatory exclusivity;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protecting our rights in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defending against third-party interference or infringement claims,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negotiating favorable terms in any collaboration, licensing or other arrangements that may be necessary or desirable to develop, manufacture or commercialize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approval for pricing where required and obtaining coverage and adequate reimbursement by hospitals, government and third-party payors for product candidates that we develop and receive regulatory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addressing any competing therapies and technological and market developments;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attracting, hiring and retaining qualified personnel. </w:t>
            </w:r>
          </w:p>
        </w:tc>
      </w:tr>
    </w:tbl>
    <w:p>
      <w:pPr>
        <w:pStyle w:val="TextBody"/>
        <w:bidi w:val="0"/>
        <w:spacing w:before="240" w:after="0"/>
        <w:jc w:val="left"/>
        <w:rPr>
          <w:rFonts w:ascii="Times New Roman" w:hAnsi="Times New Roman"/>
          <w:sz w:val="20"/>
        </w:rPr>
      </w:pPr>
      <w:r>
        <w:rPr>
          <w:rFonts w:ascii="Times New Roman" w:hAnsi="Times New Roman"/>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To the extent we enter into strategic partnerships, we will be subject to the risks described under “</w:t>
      </w:r>
      <w:r>
        <w:rPr>
          <w:rFonts w:ascii="Times New Roman" w:hAnsi="Times New Roman"/>
          <w:i/>
          <w:sz w:val="20"/>
        </w:rPr>
        <w:t>Collaboration arrangements we may enter into in the future may not be successful</w:t>
      </w:r>
      <w:r>
        <w:rPr>
          <w:rFonts w:ascii="Times New Roman" w:hAnsi="Times New Roman"/>
          <w:sz w:val="20"/>
        </w:rPr>
        <w:t xml:space="preserve">.” 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may also experience delays in developing a sustainable, reproducible and scalable manufacturing process or transferring that process to commercial partners, which may prevent us from completing our clinical trials or commercializing our product candidates, if approved, on a timely or profitable basis, if at all. Changes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manufacturing process or facilities will require further comparability analysis and approval by the FDA or any comparable foreign regulatory authority before implementation, which could delay our clinical trials and product candidate development, and could require additional clinical trials, including bridging studies, to demonstrate consistent and continued safety and potency. </w:t>
      </w:r>
    </w:p>
    <w:p>
      <w:pPr>
        <w:pStyle w:val="TextBody"/>
        <w:bidi w:val="0"/>
        <w:spacing w:before="240" w:after="0"/>
        <w:jc w:val="left"/>
        <w:rPr>
          <w:rFonts w:ascii="Times New Roman" w:hAnsi="Times New Roman"/>
          <w:sz w:val="20"/>
        </w:rPr>
      </w:pPr>
      <w:r>
        <w:rPr>
          <w:rFonts w:ascii="Times New Roman" w:hAnsi="Times New Roman"/>
          <w:sz w:val="20"/>
        </w:rPr>
        <w:t xml:space="preserve">We have not previously submitted an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candidate. We cannot be certain that our current or future product candidates will be successful in clinical trials or receive regulatory approval. Further, even if such product candidates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breach any of the agreements under which we license rights to our product candidates or technology from third parties, we could lose license rights that are important to our business. Our current license agreement may not provide an adequate remedy for its breach by the licensor. </w:t>
      </w:r>
    </w:p>
    <w:p>
      <w:pPr>
        <w:pStyle w:val="TextBody"/>
        <w:bidi w:val="0"/>
        <w:spacing w:before="120" w:after="0"/>
        <w:jc w:val="left"/>
        <w:rPr>
          <w:rFonts w:ascii="Times New Roman" w:hAnsi="Times New Roman"/>
          <w:sz w:val="20"/>
        </w:rPr>
      </w:pPr>
      <w:r>
        <w:rPr>
          <w:rFonts w:ascii="Times New Roman" w:hAnsi="Times New Roman"/>
          <w:sz w:val="20"/>
        </w:rPr>
        <w:t>The Company is developing its Licensed Products (as defined in the Annual Information Form) pursuant to the amended and restated license agreement dated effective October 9, 2018 (the “</w:t>
      </w:r>
      <w:r>
        <w:rPr>
          <w:rFonts w:ascii="Times New Roman" w:hAnsi="Times New Roman"/>
          <w:b/>
          <w:sz w:val="20"/>
        </w:rPr>
        <w:t>Amended and Restated License</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with Auritec Pharmaceuticals Inc. (“</w:t>
      </w:r>
      <w:r>
        <w:rPr>
          <w:rFonts w:ascii="Times New Roman" w:hAnsi="Times New Roman"/>
          <w:b/>
          <w:sz w:val="20"/>
        </w:rPr>
        <w:t>Auritec</w:t>
      </w:r>
      <w:r>
        <w:rPr>
          <w:rFonts w:ascii="Times New Roman" w:hAnsi="Times New Roman"/>
          <w:sz w:val="20"/>
        </w:rPr>
        <w:t xml:space="preserve">”). The Company is subject to a number of risks associated with its collaboration with Auritec, including the risk that Auritec may terminate the Amended and Restated License Agreement upon the occurrence of certain specified events. The Amended and Restated License Agreement requires, among other things, that the Company make certain payments and use reasonable commercial efforts to meet certain clinical and regulatory milestones. If it fails to comply with any of these obligations or otherwise breaches this or similar agreements, Auritec or any future licensors may have the right to terminate the license in whole.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could also suffer the consequences of non-compliance or breaches by licensors in connection with its license agreements. Such non-compliance or breaches by such third parties could in turn result in the Company’s breaches or defaults under its agreements with its other collaboration partners, and it could be found liable for damages or lose certain rights, including rights to develop and/or commercialize a product or product candidate. Loss of its rights to the Amended and Restated License Agreement or any similar license granted to the Company in the future, or the exclusivity rights provided therein, could harm the Company’s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w:t>
      </w:r>
      <w:r>
        <w:rPr>
          <w:rFonts w:ascii="Times New Roman" w:hAnsi="Times New Roman"/>
          <w:b/>
          <w:sz w:val="20"/>
        </w:rPr>
        <w:t>SVB</w:t>
      </w:r>
      <w:r>
        <w:rPr>
          <w:rFonts w:ascii="Times New Roman" w:hAnsi="Times New Roman"/>
          <w:sz w:val="20"/>
        </w:rPr>
        <w:t>”) was closed by the California Department of Financial Protection and Innovation, which appointed the Federal Deposit Insurance Corporation (“</w:t>
      </w:r>
      <w:r>
        <w:rPr>
          <w:rFonts w:ascii="Times New Roman" w:hAnsi="Times New Roman"/>
          <w:b/>
          <w:sz w:val="20"/>
        </w:rPr>
        <w:t>FDIC</w:t>
      </w:r>
      <w:r>
        <w:rPr>
          <w:rFonts w:ascii="Times New Roman" w:hAnsi="Times New Roman"/>
          <w:sz w:val="20"/>
        </w:rPr>
        <w:t xml:space="preserve">”) as receiver. Also in March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Signature Bank and Silvergate Capital Corp. were each swept into receivership. Although a statement by the U.S.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were hampered in accessing undrawn amounts thereunder. If any of the Company’s suppliers or other parties with whom the Company conducts business are unable to access funds pursuant to such instruments or lending arrangements with such a financial institution or other distressed financial institutions, such parties’ ability to pay their obligations to us or to enter into new commercial arrangements requiring additional payments to us could be adversely affected. The Company, and any suppliers or other parties that are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w:t>
      </w:r>
    </w:p>
    <w:p>
      <w:pPr>
        <w:pStyle w:val="TextBody"/>
        <w:bidi w:val="0"/>
        <w:spacing w:before="240" w:after="0"/>
        <w:jc w:val="left"/>
        <w:rPr>
          <w:rFonts w:ascii="Times New Roman" w:hAnsi="Times New Roman"/>
          <w:sz w:val="20"/>
        </w:rPr>
      </w:pPr>
      <w:r>
        <w:rPr>
          <w:rFonts w:ascii="Times New Roman" w:hAnsi="Times New Roman"/>
          <w:sz w:val="20"/>
        </w:rPr>
        <w:t xml:space="preserve">Inflation and rapid increases in interest rates have led to a decline in the trading value of previously issued government securities with interest rates below current market interest rates. Although the U.S. Department of Treasury, FDIC and Federal Reserve Board previously announced a program to provide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 </w:t>
      </w:r>
    </w:p>
    <w:p>
      <w:pPr>
        <w:pStyle w:val="TextBody"/>
        <w:bidi w:val="0"/>
        <w:spacing w:before="240" w:after="0"/>
        <w:jc w:val="left"/>
        <w:rPr>
          <w:rFonts w:ascii="Times New Roman" w:hAnsi="Times New Roman"/>
          <w:sz w:val="20"/>
        </w:rPr>
      </w:pPr>
      <w:r>
        <w:rPr>
          <w:rFonts w:ascii="Times New Roman" w:hAnsi="Times New Roman"/>
          <w:sz w:val="20"/>
        </w:rPr>
        <w:t xml:space="preserve">Although the Company assesses its banking and customer relationships as it believes necessary or appropriate, the Company’s access to funding sources and other credit arrangements in amounts adequate to finance or capitalize the Company’s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 </w:t>
      </w:r>
    </w:p>
    <w:p>
      <w:pPr>
        <w:pStyle w:val="TextBody"/>
        <w:bidi w:val="0"/>
        <w:spacing w:before="240" w:after="0"/>
        <w:jc w:val="left"/>
        <w:rPr>
          <w:rFonts w:ascii="Times New Roman" w:hAnsi="Times New Roman"/>
          <w:sz w:val="20"/>
        </w:rPr>
      </w:pPr>
      <w:r>
        <w:rPr>
          <w:rFonts w:ascii="Times New Roman" w:hAnsi="Times New Roman"/>
          <w:sz w:val="20"/>
        </w:rPr>
        <w:t xml:space="preserve">The results of events or concerns that involve one or more of these factors could include a variety of material and adverse impacts on the Company’s current and projected business operations and the Company’s financial condition and results of operations. These could include, but may not be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access to deposits or other financial assets or the uninsured loss of deposits or other financial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or lost access to, or reductions in borrowings available under credit facilities or other working capital sources and/or delays, inability or reductions in the Company’s ability to refund, roll over or extend the maturity of, or enter into new credit facilities or other working capital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contractual obligations that require the Company to maintain letters of credit or other credit support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breach of financial covenants in the Company’s credit agreements or credit arrangements;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or actual cross-defaults in other credit agreements, credit arrangements or operating or financing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Termination of cash management arrangements and/or delays in accessing or actual loss of funds subject to cash management arrangements.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investor concerns regarding the U.S., Canadian,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the Company to acquire financing on acceptable terms or at all. Any decline in available funding or access to the Company’s cash and liquidity resources could, among other risks, adversely impact the Company’s ability to meet its operating expenses, financial obligations or fulfill its other obligations, result in breaches of the Company’s financial and/or contractual obligations or result in violations of federal or state wage and hour laws. Any of these impacts, or any other impacts resulting from the factors described above or other related or similar factors not described above, could have a material adverse effect on the Company’s liquidity and its current and/or projected business operations and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further deterioration in the macroeconomic economy or financial services industry could lead to losses or defaults by the Company’s counterparties, which in turn, could have a material adverse effect on the Company’s current and/or projected business operations and results of operations and financial condition. For example, counterparties may fail to make payments when due, default under their agreements with us, become insolvent or declare bankruptcy, or a supplier may determine that it will no longer deal with us as a customer. In addition, a counterparty could be adversely affected by any of the liquidity or other risks that are described above as factors that could result in a material adverse effect on the Company, including but not limited to delayed access or loss of access to uninsured deposits or loss of the ability to draw on existing credit facilities involving a troubled or failed financial institution. Any counterparty bankruptcy or insolvency, or the failure of any counterparty to make payments when due, or any breach or default by a counterparty, or the loss of any significant supplier relationships, could result in material losses to the Company and may have a material adverse effect on the Company’s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trials are expensive, time consuming and difficult to design and implement and may fail to demonstrate adequate safety and efficacy of our product candidates. Furthermore, the results of previous preclinical studies and clinical trials may not be predictive of future results, and the results of our current and planned clinical trials may not satisfy the requirements of the FDA or comparable foreign regulatory authorities or provide the basis for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our product candidates, we must conduct preclinical development and then extensive clinical trials to demonstrate their safety and efficacy. Preclinical and clinical testing is expensive and difficult to design and implement. Preclinical and clinical testing can take many years to complete, and its ultimate outcome is uncertain. </w:t>
      </w:r>
    </w:p>
    <w:p>
      <w:pPr>
        <w:pStyle w:val="TextBody"/>
        <w:bidi w:val="0"/>
        <w:spacing w:before="240" w:after="0"/>
        <w:jc w:val="left"/>
        <w:rPr>
          <w:rFonts w:ascii="Times New Roman" w:hAnsi="Times New Roman"/>
          <w:sz w:val="20"/>
        </w:rPr>
      </w:pPr>
      <w:r>
        <w:rPr>
          <w:rFonts w:ascii="Times New Roman" w:hAnsi="Times New Roman"/>
          <w:sz w:val="20"/>
        </w:rPr>
        <w:t xml:space="preserve">A failure of one or more preclinical or clinical trials can occur at any stage of the process. We will be required to demonstrate with substantial evidence through well-controlled clinical trials that our product candidates are safe and effective for use in a diverse patient population before we can seek regulatory approvals for their commercial sale. Our preclinical or clinical trials may produce negative or inconclusive results, and we may decide, or regulators may require us, to conduct additional and expansive preclinical or clinical testing. </w:t>
      </w:r>
    </w:p>
    <w:p>
      <w:pPr>
        <w:pStyle w:val="TextBody"/>
        <w:bidi w:val="0"/>
        <w:spacing w:before="240" w:after="0"/>
        <w:jc w:val="left"/>
        <w:rPr>
          <w:rFonts w:ascii="Times New Roman" w:hAnsi="Times New Roman"/>
          <w:sz w:val="20"/>
        </w:rPr>
      </w:pPr>
      <w:r>
        <w:rPr>
          <w:rFonts w:ascii="Times New Roman" w:hAnsi="Times New Roman"/>
          <w:sz w:val="20"/>
        </w:rPr>
        <w:t xml:space="preserve">Because these lead product candidates utilize the same proprietary Diffusphere delivery technology, a failure of one of our clinical trials may also increase the actual or perceived likelihood that our other product candidates will experience similar failures. If our ongoing or future clinical trials are inconclusive with respect to the safety and efficacy of our product candidates, or if we encounter safety concerns associated with our product candidates, we may incur unplanned costs and be delayed in or prevented from obtaining marketing approval for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Positive or timely results from preclinical or early-stage trials do not ensure positive or timely results in future clinical trials or registrational clinical trials because product candidates in later-stage clinical trials may fail to demonstrate sufficient safety and efficacy to the satisfaction of the FDA and comparable foreign regulatory authorities, despite having progressed through preclinical studies or initial clinical trials.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lead product candidates may not be successful for their intended use. </w:t>
      </w:r>
    </w:p>
    <w:p>
      <w:pPr>
        <w:pStyle w:val="TextBody"/>
        <w:bidi w:val="0"/>
        <w:spacing w:before="120" w:after="0"/>
        <w:jc w:val="left"/>
        <w:rPr>
          <w:rFonts w:ascii="Times New Roman" w:hAnsi="Times New Roman"/>
          <w:sz w:val="20"/>
        </w:rPr>
      </w:pPr>
      <w:r>
        <w:rPr>
          <w:rFonts w:ascii="Times New Roman" w:hAnsi="Times New Roman"/>
          <w:sz w:val="20"/>
        </w:rPr>
        <w:t>EP-104GI is intended for the treatment of pain and inflammation in adult patients diagnosed with EoE, a chronic and incurable disease that leads to progressive fibrosis of the esophagus. EoE is characterized by inflammation and the accumulation of large numbers of eosinophils (a type of white blood cells) within the epithelial lining of the esophagus. The active pharmaceutical ingredient is an anti-inflammatory corticosteroid fluticasone propionate (“</w:t>
      </w:r>
      <w:r>
        <w:rPr>
          <w:rFonts w:ascii="Times New Roman" w:hAnsi="Times New Roman"/>
          <w:b/>
          <w:sz w:val="20"/>
        </w:rPr>
        <w:t>FP</w:t>
      </w:r>
      <w:r>
        <w:rPr>
          <w:rFonts w:ascii="Times New Roman" w:hAnsi="Times New Roman"/>
          <w:sz w:val="20"/>
        </w:rPr>
        <w:t xml:space="preserve">”) that reduces the pain associated with inflammation. </w:t>
      </w:r>
    </w:p>
    <w:p>
      <w:pPr>
        <w:pStyle w:val="TextBody"/>
        <w:bidi w:val="0"/>
        <w:spacing w:before="240" w:after="0"/>
        <w:jc w:val="left"/>
        <w:rPr>
          <w:rFonts w:ascii="Times New Roman" w:hAnsi="Times New Roman"/>
          <w:sz w:val="20"/>
        </w:rPr>
      </w:pPr>
      <w:r>
        <w:rPr>
          <w:rFonts w:ascii="Times New Roman" w:hAnsi="Times New Roman"/>
          <w:sz w:val="20"/>
        </w:rPr>
        <w:t xml:space="preserve">EP-104IAR is intended as a long-acting pain relief for OA knee pain. EP-104IAR has the same active pharmaceutical ingredient as EP-104GI. </w:t>
      </w:r>
    </w:p>
    <w:p>
      <w:pPr>
        <w:pStyle w:val="TextBody"/>
        <w:bidi w:val="0"/>
        <w:spacing w:before="240" w:after="0"/>
        <w:jc w:val="left"/>
        <w:rPr>
          <w:rFonts w:ascii="Times New Roman" w:hAnsi="Times New Roman"/>
          <w:sz w:val="20"/>
        </w:rPr>
      </w:pPr>
      <w:r>
        <w:rPr>
          <w:rFonts w:ascii="Times New Roman" w:hAnsi="Times New Roman"/>
          <w:sz w:val="20"/>
        </w:rPr>
        <w:t xml:space="preserve">Inflammation is not the only contributor to pain in EoE and knee pain, and EP-104GI and EP-104IAR may not provide sufficient pain relief for other sources of pain in EoE, such as damage of the esophagus, esophageal strictures and proliferation of fibrotic tissue, or for other sources of knee pain, such as bone-on-bone interactions. EP-104GI and EP-104IAR are the first FP-based product candidates intended to have an extended release profile to be tested in the esophagus and knee, respectively, and the effective doses have not been determined. To achieve regulatory approval in North America, EP-104GI and EP-104IAR must each show significant benefit over placebo. This is complicated by the “placebo effect” in pain-related trials, whereby patients perceive pain relief despite having received no active pharmaceutical. We have not received FDA approval for either lead product candidate and cannot be certain that our approach will lead to the development of an approvable or marketable product. We may not succeed in demonstrating safety and efficacy of EP-104GI or EP-104IAR in our ongoing clinical trials or in larger-scale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Advancing EP-104 creates significant challenges for us,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demonstrating adequate safety and efficacy to support NDA approval and a sustained safety profile following any marketing approval of our product candidates, including providing sufficient non-clinical and clinical data to support an extended-release claim in our proposed labeling and sufficient data on systemic exposure and local toxicity to support repeat dosing in humans;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marketing approval, as the FDA, EMA, Health Canada or other regulatory authorities have never approved an FP-based product for EoE or OA knee pain;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EP-104 is approved in any indication, educating medical personnel regarding the potential benefits, as well as the challenges, of incorporating EP-104 into existing treatment regimens;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the sales and marketing capabilities upon obtaining any marketing approvals to gain market acceptance.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and future product candidates will require regulatory approval, which is costly, and we may not be able to obtain it and we may fail to obtain regulatory approvals or only obtain approvals for limited uses or indications. </w:t>
      </w:r>
    </w:p>
    <w:p>
      <w:pPr>
        <w:pStyle w:val="TextBody"/>
        <w:bidi w:val="0"/>
        <w:spacing w:before="120" w:after="0"/>
        <w:jc w:val="left"/>
        <w:rPr>
          <w:rFonts w:ascii="Times New Roman" w:hAnsi="Times New Roman"/>
          <w:sz w:val="20"/>
        </w:rPr>
      </w:pPr>
      <w:r>
        <w:rPr>
          <w:rFonts w:ascii="Times New Roman" w:hAnsi="Times New Roman"/>
          <w:sz w:val="20"/>
        </w:rPr>
        <w:t xml:space="preserve">Marketing authorization of EP-104 for any indication and other product candidates will fall under the regulatory purview of the FDA and other equivalent regulatory bodies worldwide. We are not permitted to commercialize, market, promote or sell any product candidate in the United States without obtaining marketing approval 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FDA. Foreign regulatory authorities impose similar requirements. The time required to obtain approval by the FDA, EMA, Health Canada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or change over time,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EMA, Health Canada and other comparable foreign regulatory authorities may approve our product candidates for a more limited indication, a narrower patient population than we originally requested or with a Risk Evaluation and Mitigation Strategy (“</w:t>
      </w:r>
      <w:r>
        <w:rPr>
          <w:rFonts w:ascii="Times New Roman" w:hAnsi="Times New Roman"/>
          <w:b/>
          <w:sz w:val="20"/>
        </w:rPr>
        <w:t>REMS</w:t>
      </w:r>
      <w:r>
        <w:rPr>
          <w:rFonts w:ascii="Times New Roman" w:hAnsi="Times New Roman"/>
          <w:sz w:val="20"/>
        </w:rPr>
        <w:t xml:space="preserve">”). Further,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240" w:after="0"/>
        <w:jc w:val="left"/>
        <w:rPr>
          <w:rFonts w:ascii="Times New Roman" w:hAnsi="Times New Roman"/>
          <w:sz w:val="20"/>
        </w:rPr>
      </w:pPr>
      <w:r>
        <w:rPr>
          <w:rFonts w:ascii="Times New Roman" w:hAnsi="Times New Roman"/>
          <w:sz w:val="20"/>
        </w:rPr>
        <w:t xml:space="preserve">Further, development of our product candidates and/or regulatory approval may be delayed for reasons beyond our control. For example, a U.S. federal government shutdown or budget sequestration, may result in significant reductions to the FDA’s budget, employees and operations, which may lead to slower response times and longer review periods, potentially affecting our ability to progress development of our product candidates or obtain regulatory approval for our product candidates. Applications for our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disagree with the design, implementation or results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determine that our product candidates are not safe and effective, only moderately effective or have undesirable or unintended adverse events, toxicities or other characteristics that preclude our obtaining marketing approval or prevent or limit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in the clinical trial may not be sufficiently broad or representative to assure efficacy and safety in the full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an NDA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FDA, EMA, Health Canada or other comparable foreign regulatory authorities that a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EMA, Health Canada or other comparable foreign regulatory authorities may fail to approve the manufacturing processes, test procedures and specifications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EMA, Health Canada or other comparable foreign regulatory authorities may significantly change in a manner rendering our clinical data insufficient for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clinical trials of our product candidates may not demonstrate safety and efficacy to the satisfaction of the FDA, EMA, Health Canada or other comparable foreign regulatory authorities or otherwise produce positive results.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the FDA, EMA, Health Canada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 For example, we completed an end of Phase 2 meeting with the FDA in January 2024 regarding EP- 104IAR. Based on our interactions with the FDA at that meeting, we believe that we have an understanding of the remaining non-clinical and clinical studies that would be needed to support a 505(b)(2) application for EP-104IAR, including the need to conduct additional animal studies to evaluate the potential for dose dumping and immediate release of fluticasone propionate, sufficient safety and efficacy data to support repeat dosing, and adequate data to bridge the systemic safety of Flovent HFA to EP-104IAR, among other recommendations and comments received from the FDA. However, we cannot be certain that we and any potential partner will be successful in completing these anticipated studies, or if the FDA or any other regulatory authority will determine the data we and any potential partner obtain from such studies and any data obtained from any previously conducted clinical or non-clinical studies are sufficient to support an approval or that such regulatory authorities will not require additional trials. We can provide no assurance that FDA will approve the indication we and any potential partner seek in the NDA, if at all. If FDA grants approval, depending on FDA’s interpretation of the data, FDA may impose labeling restrictions, reject the “extended release” claim in the labeling, restrict repeat dosing, or require additional safety monitoring or warnings. Ultimately, the FDA will need to conduct a full review of all studies submitted in support of approval and such studies may be unsatisfactory to the FDA. In addition, even if any of our product candidates receives FDA approval, any labeling restrictions that may be imposed by the FDA may materially and adversely impact our or any potential partner’s ability to successfully commercialize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rely in part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whether our future clinical trials will begin on time or enroll patients on time, or whether our ongoing and/or future clinical trials will be completed on schedule or at all. Clinical trials can be delayed for a variety of reasons, including delays related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disagreeing as to the design or implementation of our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regulatory authorizations to commence a trial or reaching a consensus with regulatory authorities on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obtaining approval from one or more institutional review boards or research ethics board (“</w:t>
            </w:r>
            <w:r>
              <w:rPr>
                <w:rFonts w:ascii="Times New Roman" w:hAnsi="Times New Roman"/>
                <w:b/>
                <w:sz w:val="20"/>
              </w:rPr>
              <w:t>IRBs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IRBs refusing to approve, suspending or terminating the trial at an investigational site, precluding enrollment of additional subjects, or withdrawing their approval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clinical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sufficient quantities of product candidate or obtaining sufficient quantities of combination therapies for use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failing to enroll or remain in our trial at the rate we expect, or failing to return for post- 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choosing an alternative treatment for the indication for which we are developing our product candidates, or participating in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adequate funding to continue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subjects experiencing severe or unexpected drug-related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serious adverse events in trials of the same class of agents conducted by other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selection of clinical end points that require prolonged periods of clinical observation or analysis of the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facility manufacturing our product candidates or any of their components being ordered by the FDA or comparable foreign regulatory authorities to temporarily or permanently shut down due to violations of current good manufacturing practice (“</w:t>
            </w:r>
            <w:r>
              <w:rPr>
                <w:rFonts w:ascii="Times New Roman" w:hAnsi="Times New Roman"/>
                <w:b/>
                <w:sz w:val="20"/>
              </w:rPr>
              <w:t>cGMP</w:t>
            </w:r>
            <w:r>
              <w:rPr>
                <w:rFonts w:ascii="Times New Roman" w:hAnsi="Times New Roman"/>
                <w:sz w:val="20"/>
              </w:rPr>
              <w:t xml:space="preserve">”), regulations or other applicable requirements, or infections or cross-contaminations of product candidates in the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to our manufacturing process that may be necessary or desired;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third-party clinical investigators losing the licenses or permits necessary to perform our clinical trials, not performing our clinical trials on our anticipated schedule or consistent with the clinical trial protocol, good clinical practices (“</w:t>
            </w:r>
            <w:r>
              <w:rPr>
                <w:rFonts w:ascii="Times New Roman" w:hAnsi="Times New Roman"/>
                <w:b/>
                <w:sz w:val="20"/>
              </w:rPr>
              <w:t>GCPs</w:t>
            </w:r>
            <w:r>
              <w:rPr>
                <w:rFonts w:ascii="Times New Roman" w:hAnsi="Times New Roman"/>
                <w:sz w:val="20"/>
              </w:rPr>
              <w:t xml:space="preserve">”) or other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not performing data collection or analysis in a timely or accurate manner;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events,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if approved, and our competitors may be able to bring products to market before we do, and the commercial viability of our product candidates could be significantly reduced. Any of these occurrences may harm our business, financial condition and prospects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completely rely on third parties to provide supplies and inputs required for our product candidates and, if these third parties fail to fulfill their contractual obligations, we may be unable to pursue further development of our product candidates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currently outsource all product manufacturing. The field of manufacturers capable of manufacturing the EP-104 API powder is narrow and not easily replaced. Although we depend heavily on these parties, we do not control them and, therefore, cannot be assured that these third parties will adequately perform all of their contractual obligations to us. If our third-party service providers cannot adequately fulfill their obligations to us in a timely and satisfactory basis, development plans may be delayed or terminated.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or termination of production or deliveries by suppliers, or the raising of prices or renegotiation of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or nonrenewal of arrangements or agreements by our third-party contractors at a time that is costly or inconvenient for us due to any number of reasons including staffing issues, change in strategy, or concerns around manufacture of our drug substance due to perceived or actual safety concerns;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breach by the third-party contractors of our agreements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third-party contractors to comply with applicable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of the third party to manufacture our product candidates according to our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mislabeling of clinical supplies, potentially resulting in the wrong dose amounts being supplied or active drug or placebo not being properly identified;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supplies not being delivered to clinical sites on time, leading to clinical trial interruptions, or of drug supplies not being distributed to commercial vendors in a timely manner, resulting in lost sales;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misappropriation of our proprietary information, including our trade secrets and know-how.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internationally. If our contract manufacturers cannot successfully manufacture material that conforms to our specifications and the strict regulatory requirements of the FDA, EMA, Health Canada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Health Canada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products for which we receive approval may adversely affect our future profit margins and our ability to commercialize any product candidates that receive marketing approval on a timely and competitive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CROs to provide clinical and non-clinical research services; if such CROs do not successfully carry out their contractual duties including to comply with applicable laws and regulations or meet expected deadlines,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Company engages with contractors, including CROs, for various aspects of the Company’s non-clinical studies and clinical trials, including trial conduct, data management, study management and managing, statistical analysis and electronic compilation of the Company’s regulatory submissions. The Company may enter into agreements with CROs to obtain resources and expertise in an attempt to accelerate the Company’s progress on new or ongoing clinical and non-clinical programs. Typically entering into relationships with CROs involves substantial cost and requires extensive management time and focus. In addition, typically there is a transition period between engagement of a CRO and the time the CRO commences work. As a result, delays may occur, which may materially impact the Company’s ability to meet desired non-clinical and clinical development timelines and ultimately have a material adverse effect on the Company’s operating results, financial condition or future prospects. </w:t>
      </w:r>
    </w:p>
    <w:p>
      <w:pPr>
        <w:pStyle w:val="TextBody"/>
        <w:bidi w:val="0"/>
        <w:spacing w:before="240" w:after="0"/>
        <w:jc w:val="left"/>
        <w:rPr>
          <w:rFonts w:ascii="Times New Roman" w:hAnsi="Times New Roman"/>
          <w:sz w:val="20"/>
        </w:rPr>
      </w:pPr>
      <w:r>
        <w:rPr>
          <w:rFonts w:ascii="Times New Roman" w:hAnsi="Times New Roman"/>
          <w:sz w:val="20"/>
        </w:rPr>
        <w:t>As CROs are not the Company’s employees, the Company cannot control whether or not they devote sufficient time and resources to the Company’s clinical trials for which they are engaged to perform, and whether they comply with the applicable GCPs and Good Laboratory Practices (“</w:t>
      </w:r>
      <w:r>
        <w:rPr>
          <w:rFonts w:ascii="Times New Roman" w:hAnsi="Times New Roman"/>
          <w:b/>
          <w:sz w:val="20"/>
        </w:rPr>
        <w:t>GLPs</w:t>
      </w:r>
      <w:r>
        <w:rPr>
          <w:rFonts w:ascii="Times New Roman" w:hAnsi="Times New Roman"/>
          <w:sz w:val="20"/>
        </w:rPr>
        <w:t xml:space="preserve">”) for the Company’s product candidates, which include requirements related to the conduct of the study, subject informed consent,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research ethics board’s approval among others. Regulatory authorities, including the FDA, monitor compliance with Good Manufacturing Practices, GLPs, and GCPs (collectively, “</w:t>
      </w:r>
      <w:r>
        <w:rPr>
          <w:rFonts w:ascii="Times New Roman" w:hAnsi="Times New Roman"/>
          <w:b/>
          <w:sz w:val="20"/>
        </w:rPr>
        <w:t>GxPs</w:t>
      </w:r>
      <w:r>
        <w:rPr>
          <w:rFonts w:ascii="Times New Roman" w:hAnsi="Times New Roman"/>
          <w:sz w:val="20"/>
        </w:rPr>
        <w:t xml:space="preserve">”) through periodic inspections of trial sponsors, principal investigators and trial sites. Although the Company may rely on third parties for the execution of the Company’s clinical trials and non-clinical research, the Company is nevertheless responsible for ensuring that each of the Company’s studies is conducted in accordance with the applicable protocol, legal, regulatory and scientific standards and the Company’s reliance on CROs does not relieve the Company of the Company’s regulatory responsibilities. If the Company or any of the Company’s CROs deviate from the approval protocols, make errors during the conduct of studies, or fail to comply with applicable GCPs and GLPs, the data generated in the Company’s studies may be deemed unreliable and the applicable regulatory authorities may take regulatory action against the Company and/or require the Company to perform additional studies before approving the Company’s marketing applications. The Company cannot assure you that, upon inspection by a given regulatory authority, such regulatory authority will determine that any of the Company’s clinical trials complies with GCP regulations. In addition, the Company’s clinical trials must be conducted with product candidate materials produced under GMP regulations. the Company’s failure to comply with these regulations may require the Company to discontinue or repeat clinical trials, which would delay the regulatory approval process. If the CROs that the Company engages do not successfully carry out their contractual duties or obligations, conduct the studies in accordance with all regulatory requirements, or meet expected deadlines, or if they need to be replaced, or the quality or accuracy of the data they provide is compromised due to the failure to adhere to regulatory requirements or for other reasons, then the Company’s development programs may be extended, delayed or terminated, or the Company may not be able to obtain marketing approval for or successfully commercialize the Company’s product candidates. Failure to comply with clinical trial regulatory requirements may further subject the Company to significant penalties potentially including imprisonment or an injunction against manufacture or distribution and debarment.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Manufacturing drugs, especially in large quantities, is complex and may require the use of innovative technologies. Each lot of an approved drug product must undergo thorough testing for identity, strength, quality, purity, potency, and stability.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including exposure to liabilities arising from any GxP non-compliance. If our manufacturers and suppliers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outcome of preclinical testing and early clinical trials may not be predictive of the success of later clinical trials, and the results of our clinical trials may not satisfy the requirements of the FDA, EMA, Health Canada or other comparable foreign regulatory authorities. Terminating the development of any of our product candidates could materially harm our business and the market price of our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Our clinical product candidates, along with product candidates we expect to enter clinical development, are in varying stages of development and will require substantial clinical development, testing and regulatory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prior to commercialization. Before obtaining regulatory approvals for the commercial sale of our product candidates, we must demonstrate through lengthy, complex and expensive pre-clinical testing and clinical trials that each product candidate is both safe and effective for use in each target indication. Failure can occur at any time during the clinical trial process. Clinical trials often fail to demonstrate safety and efficacy of the product candidate studied for the target indication. Most product candidates that commence clinical trials are never approved as products. A number of companies in the pharmaceutical industry have suffered significant setbacks in advanced clinical trials due to lack of efficacy or adverse safety profiles, notwithstanding promising results in earlier trials.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other treatments and may be using other approved products or investigational new drugs, which can cause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While recent data obtained from our clinical studies of EP-104GI and EP-104IAR is encouraging, we cannot be certain that ongoing and future trials will not suffer setbacks, including for lack of efficacy and/or adverse safety profiles, or that previously conducted clinical and non-clinical studies will be deemed adequate for purposes of regulatory approval. For additional information regarding our recent study results, please see the section of our Annual Information Form titled “</w:t>
      </w:r>
      <w:r>
        <w:rPr>
          <w:rFonts w:ascii="Times New Roman" w:hAnsi="Times New Roman"/>
          <w:i/>
          <w:sz w:val="20"/>
        </w:rPr>
        <w:t>Description of the Business – Product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safety and efficacy trials of any product candidate, clinical trial failures may result from a multitude of factors including flaws in trial design, dose selection, statistical analysis plan, placebo effect, patient enrollment criteria, patient compliance and trial execution. Data obtained from trials and studies are susceptible to varying interpretations, and regulators may not interpret our data as favorably as we do, which may delay, limit or prevent regulatory approval. Failure of a clinical trial due to any of these reasons could materially harm our business and the market price of our Common Shares. In the case of some of our product candidates, we may seek to develop treatments for certain diseases or disorders for which there is relatively limited clinical experience, and clinical trials may use novel endpoints and measurement methodologies or subjective patient feedback, which adds a layer of complexity to these clinical trials and may delay regulatory approval. Negative or inconclusive results from our clinical trials could lead to a decision or requirement to conduct additional pre-clinical testing or clinical trials or result in a decision to terminate the continued development of a product candidate. Any of the foregoing outcomes would materially and adversely impact our business, product candidate pipeline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candidates are not shown to be both safe and effective in clinical trials, such product candidates will be unable to obtain regulatory approval or be successfully commercialized. In addition, our failure to demonstrate positive results in clinical trials in any indication for which we are developing clinical product candidates could adversely affect development efforts in other indications.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Interim, initial,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240" w:after="0"/>
        <w:jc w:val="left"/>
        <w:rPr>
          <w:rFonts w:ascii="Times New Roman" w:hAnsi="Times New Roman"/>
          <w:sz w:val="20"/>
        </w:rPr>
      </w:pPr>
      <w:r>
        <w:rPr>
          <w:rFonts w:ascii="Times New Roman" w:hAnsi="Times New Roman"/>
          <w:sz w:val="20"/>
        </w:rPr>
        <w:t xml:space="preserve">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safety concerns observed in any one of our clinical trials in our targeted indications could limit the prospects for regulatory approval of our product candidates in those and other indications, which could seriously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Preclinical and clinical data are often susceptible to varying interpretations and analyses and many companies that believed their product candidates performed satisfactorily in preclinical studies and clinical trials nonetheless failed to obtain FDA, EMA, Health Canada or comparable foreign regulatory authority approval. We cannot guarantee that the FDA or foreign regulatory authorities will interpret trial results as we do, and more trials could be required before we are able to submit applications seeking approval of our product candidates.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Health Canada or comparable foreign regulatory authorities may significantly change in a manner rendering our clinical data insufficient for approval, which may lead to the FDA, EMA, Health Canada or comparable foreign regulatory authorities delaying, limiting or denying approval of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current or future product candidates may cause significant adverse events, toxicities or other undesirable adverse events when used alone or in combination with other products that may result in a safety profile that could inhibit regulatory approval, prevent market acceptance, limit their commercial potential, if approved, or result in significant negative consequences.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pharmaceuticals generally, it is likely that there may be adverse events associated with our product candidates’ use. Results of our clinical trials could reveal a high and unacceptable severity and prevalence of adverse events or unexpected characteristics. Undesirable adverse events associated with use of our product candidates could cause us or regulatory authorities to interrupt, delay or halt clinical trials and could result in a more restrictive label or the delay or denial of regulatory approval by the FDA or comparable foreign regulatory authorities. The treatment- emergent adverse events could affect patient recruitment or the ability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enrolled patients to complete the trial or result in potential product liability claims. Any of these occurrences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If our product candidates are associated with undesirable adverse events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adverse events or other characteristics are less prevalent, less severe or more acceptable from a risk-benefit perspective. Treatment-related adverse events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Patients in our ongoing and planned clinical trials may in the future suffer significant adverse events or other adverse events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other medical procedures or treatments, which can cause adverse events that are unrelated to our product candidate, but may still impact the success of our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If significant adverse events or other adverse events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Health Canada, other comparable regulatory authorities or an IRB may suspend clinical trials of a product candidate at any time for various reasons, including a belief that subjects in such trials are being exposed to unacceptable health risks or adverse events. Some potential therapeutics developed in the biotechnology industry that initially showed therapeutic promise in early- stage trials have later been found to cause adverse events that prevented their further development. Even if the adverse events do not preclude the product candidate from obtaining or maintaining marketing approval, undesirable adverse events may inhibit market acceptance due to its tolerability versus other therapies. Any of these developments could materially harm our business,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Where appropriate and applicable, we may seek approval from the FDA or comparable foreign regulatory authorities through the use of expedited approval pathways, such as Fast Track designation or Breakthrough Therapy designation. Even if we receive a designation that would allow for expedited review, we can provide no assurance that we will be able to obtain FDA or comparable foreign regulatory authority approval sooner or at all. </w:t>
      </w:r>
    </w:p>
    <w:p>
      <w:pPr>
        <w:pStyle w:val="TextBody"/>
        <w:bidi w:val="0"/>
        <w:spacing w:before="120" w:after="0"/>
        <w:jc w:val="left"/>
        <w:rPr>
          <w:rFonts w:ascii="Times New Roman" w:hAnsi="Times New Roman"/>
          <w:sz w:val="20"/>
        </w:rPr>
      </w:pPr>
      <w:r>
        <w:rPr>
          <w:rFonts w:ascii="Times New Roman" w:hAnsi="Times New Roman"/>
          <w:sz w:val="20"/>
        </w:rPr>
        <w:t xml:space="preserve">Where possible, we may pursue accelerated development strategies in areas of high unmet need for one or more of our product candidates. In June 2023, we announced that the FDA granted Fast Track designation for EP-104IAR for the treatment of OA. Fast Track designation is designed to facilitate the development and expedite the review of therapies for serious conditions and fill an unmet medical need. Programs with Fast Track designation may benefit from early and frequent communications with the FDA, potential priority review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does not change the standards for approval. Fast Track designation alone does not guarantee qualification for the FDA’s priority review procedures. </w:t>
      </w:r>
    </w:p>
    <w:p>
      <w:pPr>
        <w:pStyle w:val="TextBody"/>
        <w:bidi w:val="0"/>
        <w:spacing w:before="240" w:after="0"/>
        <w:jc w:val="left"/>
        <w:rPr>
          <w:rFonts w:ascii="Times New Roman" w:hAnsi="Times New Roman"/>
          <w:sz w:val="20"/>
        </w:rPr>
      </w:pPr>
      <w:r>
        <w:rPr>
          <w:rFonts w:ascii="Times New Roman" w:hAnsi="Times New Roman"/>
          <w:sz w:val="20"/>
        </w:rPr>
        <w:t xml:space="preserve">Under the Orphan Drug Act of 1983, the FDA may designate a product as an orphan drug if it is a drug intended to treat a rare disease or condition, which is generally defined as a patient population of fewer than 200,000 individuals annually in the United States. Orphan drug designation neither shortens the development time or regulatory review time of a drug nor gives the drug any advantage in the regulatory review or approval process. If a product that has orphan drug designation from the FDA subsequently receives the first FDA approval for an indication within the orphan disease, the product is entitled to orphan product exclusivity, which means that the FDA may not approve any other applications to market the same drug for the same indication, for seven years, except in limited circumstances such as a showing of clinical superiority to the product with the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Even if we or our collaborators obtain orphan designation for a product candidate, we may not be the first to obtain marketing approval for any particular orphan indication due to the uncertainties associated with developing pharmaceutical products. The scope of exclusivity is limited to the scope of any approved indication, even if the scope of the orphan designation is broader than the approved indication. Additionally, exclusive marketing rights may be limited if we or our collaborators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Further, even if a product obtains orphan drug exclusivity, that exclusivity may not effectively protect the product from competition because different drugs with different active moieties can be approved for the same condition. Even after an orphan drug is approved, the FDA can subsequently approve a product with the same active moiety for the same condition if the FDA concludes that the later product is safer, more effective, or makes a major contribution to patient care. Furthermore, the FDA can waive orphan exclusivity if we or our collaborators are unable to manufacture sufficient supply of the product. If we or our collaborators do not receive or maintain orphan drug designation to product candidates for which we seek such designation, it could limit our ability to realize revenues from such product candidates. Further, in view of the court decision in </w:t>
      </w:r>
      <w:r>
        <w:rPr>
          <w:rFonts w:ascii="Times New Roman" w:hAnsi="Times New Roman"/>
          <w:i/>
          <w:sz w:val="20"/>
        </w:rPr>
        <w:t>Catalyst Pharms., Inc. v. Becerra</w:t>
      </w:r>
      <w:r>
        <w:rPr>
          <w:rFonts w:ascii="Times New Roman" w:hAnsi="Times New Roman"/>
          <w:sz w:val="20"/>
        </w:rPr>
        <w:t xml:space="preserve">, 14 F.4th 1299 (11th Cir. 2021), the FDA published a notice in the Federal Register in January 2023 to clarify that while the agency complies with the court’s order in </w:t>
      </w:r>
      <w:r>
        <w:rPr>
          <w:rFonts w:ascii="Times New Roman" w:hAnsi="Times New Roman"/>
          <w:i/>
          <w:sz w:val="20"/>
        </w:rPr>
        <w:t>Catalyst</w:t>
      </w:r>
      <w:r>
        <w:rPr>
          <w:rFonts w:ascii="Times New Roman" w:hAnsi="Times New Roman"/>
          <w:sz w:val="20"/>
        </w:rPr>
        <w:t xml:space="preserve">, FDA intends to continue to apply its longstanding interpretation of the regulations to matters outside of the scope of the </w:t>
      </w:r>
      <w:r>
        <w:rPr>
          <w:rFonts w:ascii="Times New Roman" w:hAnsi="Times New Roman"/>
          <w:i/>
          <w:sz w:val="20"/>
        </w:rPr>
        <w:t>Catalyst</w:t>
      </w:r>
      <w:r>
        <w:rPr>
          <w:rFonts w:ascii="Times New Roman" w:hAnsi="Times New Roman"/>
          <w:sz w:val="20"/>
        </w:rPr>
        <w:t xml:space="preserve"> order – that is, the agency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establish sales and marketing capabilities or enter into agreements with third parties to market and sell our drug candidates, if approved, we may be unable to generate any product revenue. </w:t>
      </w:r>
    </w:p>
    <w:p>
      <w:pPr>
        <w:pStyle w:val="TextBody"/>
        <w:bidi w:val="0"/>
        <w:spacing w:before="120" w:after="0"/>
        <w:jc w:val="left"/>
        <w:rPr>
          <w:rFonts w:ascii="Times New Roman" w:hAnsi="Times New Roman"/>
          <w:sz w:val="20"/>
        </w:rPr>
      </w:pPr>
      <w:r>
        <w:rPr>
          <w:rFonts w:ascii="Times New Roman" w:hAnsi="Times New Roman"/>
          <w:sz w:val="20"/>
        </w:rPr>
        <w:t xml:space="preserve">To successfully commercialize EP-104, in any indication, if approved, or any future product candidate that may result from our development programs, we will need to build out our sales and marketing capabilities, either on our own or with others. The establishment and development of our own commercial team or the establishment of a contract field force to market any product candidate we may develop will be expensive and time-consuming and could delay any drug launch. Moreover, we cannot be certain that we will be able to successfully develop this capability. We may seek to enter into collaborations with other entities to use their established marketing and distribution capabilities, but we may be unable to enter into such agreements on favorable terms, if at all.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current or future collaborators do not commit sufficient resources to commercialize our product candidates, or we are unable to develop the necessary capabilities on our own, we may be unable to generate sufficient revenue to sustain our business. We may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any future product candidates. Without an internal team or the support of a third party to perform marketing and sales functions, we may be unable to compete successfully against these more established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novel technology with uncertain market acceptance if any of our product candidates are approved. </w:t>
      </w:r>
    </w:p>
    <w:p>
      <w:pPr>
        <w:pStyle w:val="TextBody"/>
        <w:bidi w:val="0"/>
        <w:spacing w:before="120" w:after="0"/>
        <w:jc w:val="left"/>
        <w:rPr>
          <w:rFonts w:ascii="Times New Roman" w:hAnsi="Times New Roman"/>
          <w:sz w:val="20"/>
        </w:rPr>
      </w:pPr>
      <w:r>
        <w:rPr>
          <w:rFonts w:ascii="Times New Roman" w:hAnsi="Times New Roman"/>
          <w:sz w:val="20"/>
        </w:rPr>
        <w:t xml:space="preserve">Even if any of our product candidates receive regulatory approval, the approved products may not achieve broad market acceptance among physicians, patients, the medical community and third-party payors, in which case revenue generated from their sales would be limited. Our delivery platform is at an early stage of development and uses novel technology, with uncertain market acceptance if our product candidates are approved. Product approval, should this be achieved, does not infer that the product will garner a good market price or be reimbursed by public or private insurers. Further, there are no guarantees that the product will be positively received by the target patient population. If any of our product candidates is approved but does not achieve an adequate level of acceptance by physicians, healthcare payors and patients, we may not generate or derive sufficient revenue from that product candidate and our financial results could be negatively impacted. The degree of market acceptance of any of our approved product candidates will depend on a number of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as demonstrated in clinical trials compared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the product candidate as well as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the product candidate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use of our product candidates, such as boxed warnings or contraindications in labeling, or a REMS, if any, which may not be required of alternative treatments and competitor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treatment in relation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as well as pricing, by third-party payors, including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the approved product candidate for use as a combination therapy;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relative convenience and ease of preparation and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the target patient population to try new therapies and of physicians to prescribe these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sales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publicity relating to our products or product candidates or similar approved products or product candidates in development by third parties;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other new therapies for the same indications.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If we experience delays or difficulties in the enrollment and/or maintenance of patients in clinical trials, our clinical development activities could be delayed or otherwise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Patient enrollment is a significant factor in the timing of clinical trials, and the timing of our clinical trials depends, in part, on the speed at which we can recruit patients to participate in our trials, as well as completion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follow-up periods. We may not be able to initiate or continue clinical trials for our product candidates if we are unable to locate and enroll a sufficient number of eligible patients to participate in these trials to such trial’s conclusion as required by the FDA, EMA, Health Canada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 </w:t>
      </w:r>
    </w:p>
    <w:p>
      <w:pPr>
        <w:pStyle w:val="TextBody"/>
        <w:bidi w:val="0"/>
        <w:spacing w:before="240" w:after="0"/>
        <w:jc w:val="left"/>
        <w:rPr>
          <w:rFonts w:ascii="Times New Roman" w:hAnsi="Times New Roman"/>
          <w:sz w:val="20"/>
        </w:rPr>
      </w:pPr>
      <w:r>
        <w:rPr>
          <w:rFonts w:ascii="Times New Roman" w:hAnsi="Times New Roman"/>
          <w:sz w:val="20"/>
        </w:rPr>
        <w:t xml:space="preserve">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availability and potency of approved drugs for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eligibility criteria for the trial in question as defined in the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clinicians’ and patients’ perceptions as to the potential advantages of the product candidate being studied in relation to other available therapies, including any new products that may be approved for the indications we are investigating;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efforts to facilitate timely enrollment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enrollment of prospective patients by clinical trial sites;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patients enrolled in clinical trials will drop out of the trials before completion.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EMA, Health Canada and other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We may choose to conduct international clinical trials in the future. The acceptance of study data by the FDA, EMA, Health Canada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 Additionally, the FDA’s clinical trial requirements, including the adequacy of the patient population studied and statistical powering, must be met. In addition, such foreign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would be subject to the applicable local laws of the foreign jurisdictions where the trials are conducted. There can be no assurance that the FDA, EMA, Health Canada or any applicable foreign regulatory authority will accept data from trials conducted outside of its applicable jurisdiction. If the FDA, EMA, Health Canada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regulatory approval of our product candidates in one jurisdiction does not mean that we will be successful in obtaining regulatory approval of our product candidates in other jurisdictions. </w:t>
      </w:r>
    </w:p>
    <w:p>
      <w:pPr>
        <w:pStyle w:val="TextBody"/>
        <w:bidi w:val="0"/>
        <w:spacing w:before="120" w:after="0"/>
        <w:jc w:val="left"/>
        <w:rPr>
          <w:rFonts w:ascii="Times New Roman" w:hAnsi="Times New Roman"/>
          <w:sz w:val="20"/>
        </w:rPr>
      </w:pPr>
      <w:r>
        <w:rPr>
          <w:rFonts w:ascii="Times New Roman" w:hAnsi="Times New Roman"/>
          <w:sz w:val="20"/>
        </w:rPr>
        <w:t xml:space="preserve">Obtaining and maintaining regulatory approval of our product candidates in one jurisdiction does not guarantee that we will be able to obtain or maintain regulatory approval in any other jurisdiction. For example, even if the FDA, EMA or Health Canada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or other regulation. </w:t>
      </w:r>
    </w:p>
    <w:p>
      <w:pPr>
        <w:pStyle w:val="TextBody"/>
        <w:bidi w:val="0"/>
        <w:spacing w:before="240" w:after="0"/>
        <w:jc w:val="left"/>
        <w:rPr>
          <w:rFonts w:ascii="Times New Roman" w:hAnsi="Times New Roman"/>
          <w:sz w:val="20"/>
        </w:rPr>
      </w:pPr>
      <w:r>
        <w:rPr>
          <w:rFonts w:ascii="Times New Roman" w:hAnsi="Times New Roman"/>
          <w:sz w:val="20"/>
        </w:rPr>
        <w:t xml:space="preserve">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market opportunity for any product candidate that we or our strategic partners develop is smaller than we believe, our revenue may be adversely affected and our business may suffer. </w:t>
      </w:r>
    </w:p>
    <w:p>
      <w:pPr>
        <w:pStyle w:val="TextBody"/>
        <w:bidi w:val="0"/>
        <w:spacing w:before="120" w:after="0"/>
        <w:jc w:val="left"/>
        <w:rPr>
          <w:rFonts w:ascii="Times New Roman" w:hAnsi="Times New Roman"/>
          <w:sz w:val="20"/>
        </w:rPr>
      </w:pPr>
      <w:r>
        <w:rPr>
          <w:rFonts w:ascii="Times New Roman" w:hAnsi="Times New Roman"/>
          <w:sz w:val="20"/>
        </w:rPr>
        <w:t xml:space="preserve">We intend to initially focus our product candidate development on treatments for EoE and OA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EoE or OA. Additionally, the potentially addressable patient population for our product candidates may not ultimately be amenable to treatment with our product candidates. FDA, EMA, Health Canada or other regulatory agencies may also limit our proposed indication or target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our product candidates receive regulatory approval, we will be subject to significant post marketing regulatory requirements and oversight.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failure to comply with FDA, EMA, Health Canada and other comparable foreign regulatory requirements may subject our company to administrative or judicially imposed sanctions,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the rejection of product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our ability to conduct clinical trials, including full or partial clinical holds on ongoing or planned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products, manufacturers or manufacturing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warning or untitled letters or Form 483s;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civil and criminal penalties;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suspension or withdrawal of regulatory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seizures, detentions or import bans;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voluntary or mandatory product recalls and publicity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or partial suspension of production;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restrictions on operations, including costly new manufacturing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event or penalty described above may inhibit our ability to commercialize our product candidates, if approved, and generate revenue and could require us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FDA’s and other regulatory authorities’ policies may change, and additional government regulations may be enacted that could prevent, limit or delay regulatory approval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If government regulation arises that puts constraints on FDA’s or other regulatory authorities’ ability to exercise their respective regulatory authority, including engaging in oversight and implementation activities in the normal course, our business may be negatively impacted. </w:t>
      </w:r>
    </w:p>
    <w:p>
      <w:pPr>
        <w:pStyle w:val="TextBody"/>
        <w:bidi w:val="0"/>
        <w:spacing w:before="240" w:after="0"/>
        <w:jc w:val="left"/>
        <w:rPr>
          <w:rFonts w:ascii="Times New Roman" w:hAnsi="Times New Roman"/>
          <w:sz w:val="20"/>
        </w:rPr>
      </w:pPr>
      <w:r>
        <w:rPr>
          <w:rFonts w:ascii="Times New Roman" w:hAnsi="Times New Roman"/>
          <w:sz w:val="20"/>
        </w:rPr>
        <w:t xml:space="preserve">It is difficult to predict how current and future legislation, executive actions, and litigation, including the executive orders issued by the current U.S. presidential administration, will be implemented, and the extent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they will impact our business, our clinical development, and the FDA’s and other agencies’ ability to exercise their regulatory authority, including FDA’s pre-approval inspections and timely review of any regulatory filings or applications we submit to the FDA. In addition, the Supreme Court’s overturning of the Chevron doctrine, which gave deference to regulatory agencies in litigation against FDA and other agencies, may result in more companies bringing lawsuits against FDA to challenge longstanding decisions and policies of FDA, which could undermine FDA’s authority, lead to uncertainties in the industry, and disrupt FDA’s normal operations, which could delay FDA’s review of our marketing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consider submitting an application for a Commissioner’s National Priority Voucher (“CNPV”) from the FDA but there can be no assurance that we will receive a voucher and, if a voucher is received, we may not be able to comply with the requirements of the program. It is also possible that a competitor may receive a voucher which could harm our competitive position in the marketplace. </w:t>
      </w:r>
    </w:p>
    <w:p>
      <w:pPr>
        <w:pStyle w:val="TextBody"/>
        <w:bidi w:val="0"/>
        <w:spacing w:before="120" w:after="0"/>
        <w:jc w:val="left"/>
        <w:rPr>
          <w:rFonts w:ascii="Times New Roman" w:hAnsi="Times New Roman"/>
          <w:sz w:val="20"/>
        </w:rPr>
      </w:pPr>
      <w:r>
        <w:rPr>
          <w:rFonts w:ascii="Times New Roman" w:hAnsi="Times New Roman"/>
          <w:sz w:val="20"/>
        </w:rPr>
        <w:t xml:space="preserve">In June 2025, the FDA announced the CNPV pilot program which was designed to accelerate the development and review of certain drugs and biologics that are aligned with U.S. national health priorities, such as addressing a U.S. public health crisis, developing more innovative cures for the American people, addressing a large unmet medical need, onshoring drug development and manufacturing to advance the health interests of Americans and strengthen U.S. supply chain resiliency, and increasing affordability. The FDA has stated that voucher recipients will receive a decision with respect to an application on an accelerated basis, as well as enhanced communication with review staff throughout the review process. The FDA expects the CNPV program to accelerate the application review timeline from 10-12 months to 1-2 months by convening a multidisciplinary team of physicians and scientists for a team-based review, interacting frequently with the sponsor of the application to clarify questions, and completing review of the application concurrently. The FDA retains full discretion to extend the review window if the data or application components submitted are insufficient or incomplete, if the results of the pivotal trial(s) are ambiguous, or if the review is particularly complex. The FDA has indicated that the CNPV program does not change the FDA’s rigorous safety and efficacy standards for review and approval. In late 2025, FDA began issuing approvals for drugs with CNPVs within the 1-2 month review timeframe. To date, FDA has approved seven drugs under the program. The CNPV program is new, limited in scope, and subject to evolving guidance, and available FDA resources. The FDA retains broad discretion to modify the criteria, processes, or benefits of the program and may rescind participation or alter timelines or the intended benefits at any time. Adding to the uncertainty, concerns have been raised regarding the legality of the CNPV program.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receive a voucher if we submit an application and, if a voucher is received, we may not be able to comply with the requirements of the program. It is also possible that a competitor may receive a voucher which could harm our competitive position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other regulatory agencies actively enforce the laws and regulations prohibiting promotion that is not consistent with product labeling and failure to comply with these laws and other laws relating to promotion could subject us to enforcement action. </w:t>
      </w:r>
    </w:p>
    <w:p>
      <w:pPr>
        <w:pStyle w:val="TextBody"/>
        <w:bidi w:val="0"/>
        <w:spacing w:before="120" w:after="0"/>
        <w:jc w:val="left"/>
        <w:rPr>
          <w:rFonts w:ascii="Times New Roman" w:hAnsi="Times New Roman"/>
          <w:sz w:val="20"/>
        </w:rPr>
      </w:pPr>
      <w:r>
        <w:rPr>
          <w:rFonts w:ascii="Times New Roman" w:hAnsi="Times New Roman"/>
          <w:sz w:val="20"/>
        </w:rPr>
        <w:t xml:space="preserve">The promotion of pharmaceutical products is strictly regulated in in the United States and in other jurisdictions. If any of our product candidates are approved and we are found to have improperly promoted off-label uses of those products or otherwise promoted products contrary to applicable laws, we may become subject to significant liability. The FDA and other regulatory agencies strictly regulate the promotional claims that may be made about prescription products, such as our product candidates, if approved. In particular, all promotion must be consistent with product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become subject to significant liability, which would materially adversely affect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and other government agencies caused by actions by the current U.S. presidential administration or by legislative or judicial action, reductions in force, government shutdowns,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including action by the current U.S. presidential administration or by legislative or judicial action, reductions in force, government shutdowns, funding shortages, or global health concerns.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 </w:t>
      </w:r>
    </w:p>
    <w:p>
      <w:pPr>
        <w:pStyle w:val="TextBody"/>
        <w:bidi w:val="0"/>
        <w:spacing w:before="240" w:after="0"/>
        <w:jc w:val="left"/>
        <w:rPr>
          <w:rFonts w:ascii="Times New Roman" w:hAnsi="Times New Roman"/>
          <w:sz w:val="20"/>
        </w:rPr>
      </w:pPr>
      <w:r>
        <w:rPr>
          <w:rFonts w:ascii="Times New Roman" w:hAnsi="Times New Roman"/>
          <w:sz w:val="20"/>
        </w:rPr>
        <w:t xml:space="preserve">Disruptions at the FDA and other agencies, including through reductions in force, may slow the time necessary to meet with and receive agency feedback, review and/or approve submissions, conduct inspections, issue regulatory guidance, or take other actions that facilitate the development, approval and marketing of new drugs, which would adversely affect our business. With significant reductions in force, the FDA may not be able to meet its application review goals or to continue to be available for timely interactions with drug developers. Moreover, changes in FDA’s policies or regulations, whether as a result of personnel and budgetary constraints, changes in leadership or otherwise, could adversely impact the development of our product candidates and, ultimately, our ability to receive marketing authorization. Decisions about the development of product candidates are often based on interactions with FDA and regulatory guidance provided by the agency following such interactions. If FDA does not agree with our decisions resulting from such interactions and guidance or there are subsequent policy changes, review and approval of our product candidates may be delayed or not occur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key personnel. </w:t>
      </w:r>
    </w:p>
    <w:p>
      <w:pPr>
        <w:pStyle w:val="TextBody"/>
        <w:bidi w:val="0"/>
        <w:spacing w:before="120" w:after="0"/>
        <w:jc w:val="left"/>
        <w:rPr>
          <w:rFonts w:ascii="Times New Roman" w:hAnsi="Times New Roman"/>
          <w:sz w:val="20"/>
        </w:rPr>
      </w:pPr>
      <w:r>
        <w:rPr>
          <w:rFonts w:ascii="Times New Roman" w:hAnsi="Times New Roman"/>
          <w:sz w:val="20"/>
        </w:rPr>
        <w:t xml:space="preserve">The Company’s success depends in large measure on certain key personnel, including our executive officers. The loss of the services of such key personnel could have a material adverse effect on the Company. The contributions of these individuals to the Company’s immediate operations are likely to be of central importance. In addition, the competition for qualified personnel in the biotech industry is intense and there can be no assurance that the Company will be able to continue to attract and retain all personnel necessary for the development and operation of the Company’s business. Investors must rely upon the ability, expertise, judgment, discretion, integrity and good faith of the Company’s management. Other biotechnology companies with which the Company competes for qualified personnel have greater financial and other resources, different risk profiles and a longer history in the industry than the Company does. They also may provide more diverse opportunities and better chances for career advancement. Some of these characteristics may be more appealing to high-quality candidates than those that the Company has to offer. If the Company is unable to continue to attract and retain high-quality personnel, the rate of and success with which the Company can develop and commercialize product candidates would be limited. </w:t>
      </w:r>
    </w:p>
    <w:p>
      <w:pPr>
        <w:pStyle w:val="TextBody"/>
        <w:bidi w:val="0"/>
        <w:spacing w:before="240" w:after="0"/>
        <w:jc w:val="left"/>
        <w:rPr>
          <w:rFonts w:ascii="Times New Roman" w:hAnsi="Times New Roman"/>
          <w:sz w:val="20"/>
        </w:rPr>
      </w:pPr>
      <w:r>
        <w:rPr>
          <w:rFonts w:ascii="Times New Roman" w:hAnsi="Times New Roman"/>
          <w:sz w:val="20"/>
        </w:rPr>
        <w:t xml:space="preserve">As a technology-driven company, intellectual input from key management and personnel is critical to achieve our business objectives. Consequently, our ability to retain these individuals and attract other qualified individuals is critical to our success. The loss of the services of key individuals might significantly delay or prevent achievement of our business objectives. In addition, because of a relative scarcity of individuals with the high degree of education and scientific achievement required for our business, competition among biotech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qualified employees is intense, and as a result we may not be able to attract and retain such individuals on acceptable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We also have relationships with scientific collaborators at academic and other institutions, some of whom conduct research at our request or assist us in formulating our research and development strategies. These scientific collaborators are not our employees and may have commitments to, or consulting or advisory contracts with, other entities that may limit their availability to us. In addition, even though our collaborators are required to sign confidentiality agreements prior to working with us, they may have arrangements with other companies to assist such other companies in developing technologies that may prove competitive to us. </w:t>
      </w:r>
    </w:p>
    <w:p>
      <w:pPr>
        <w:pStyle w:val="TextBody"/>
        <w:bidi w:val="0"/>
        <w:spacing w:before="240" w:after="0"/>
        <w:jc w:val="left"/>
        <w:rPr>
          <w:rFonts w:ascii="Times New Roman" w:hAnsi="Times New Roman"/>
          <w:sz w:val="20"/>
        </w:rPr>
      </w:pPr>
      <w:r>
        <w:rPr>
          <w:rFonts w:ascii="Times New Roman" w:hAnsi="Times New Roman"/>
          <w:sz w:val="20"/>
        </w:rPr>
        <w:t xml:space="preserve">Incentive provisions for our key executives include the granting of stock options that vest over time, designed to encourage such individuals to stay with us. However, a low share price could render such agreements of little value to our key executives. In such event, our key executives could be susceptible to being hired away by our competitors who could offer a better compensation package. If we are unable to attract and retain key personnel our business, financial conditions and results of operations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successfully execute our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The execution of our business strategy poses many challenges and is based on several assumptions. If we experience significant regulatory delays, supply chain disruptions, cost overruns on our programs, or if our business plan is more costly than we anticipate, certain research and development activities may be delayed or eliminated, resulting in changes or delays to our commercialization plans, or we may be compelled to secure additional funding (which may or may not be available) to execute our business strategy. We cannot predict with certainty our future revenues or results from our operations. If the assumptions on which our revenue or expenditure forecasts are based change, the benefits of our business strategy may change as well.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in a highly competitive industry which is continuously evolving with technological changes.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engaged in an industry that is highly competitive, evolving and characterized by technological change. As a result, it is difficult for it to predict whether, when and by whom new competing technologies or new competitors may enter the market. The Company faces competition from companies with strong positions in certain markets it is currently targeting, and in new markets and regions it may enter. Some of these companies have significantly greater financial, technical, human, research and development, and marketing resources than the Company. The Company cannot assure you that it will be able to compete effectively against current and future competitors who may discover and develop products in advance of the Company that are more effective than those developed by the Company. As a consequence, the Company’s current and future technologies may become obsolete or uncompetitive, resulting in adverse effects on revenue, margins and profitability. In addition, competition or other competitive pressures may result in price reductions, reduced margins or loss of market share, any of which could have a material adverse effect on the Company’s business, financial condition or results of operations. To the extent that new or improved oral or other systemically administered pain medications are introduced that demonstrate better long-term efficacy and safety, patients and physicians may further delay the introduction of injectable therapies, such as EP-104, in the treatment for any indication we pursue. EP-104 could also face competition from other formulations or devices that deliver pain medication on an extended basis, such as transdermal delivery systems or implantable devices. </w:t>
      </w:r>
    </w:p>
    <w:p>
      <w:pPr>
        <w:pStyle w:val="TextBody"/>
        <w:bidi w:val="0"/>
        <w:spacing w:before="240" w:after="0"/>
        <w:jc w:val="left"/>
        <w:rPr>
          <w:rFonts w:ascii="Times New Roman" w:hAnsi="Times New Roman"/>
          <w:sz w:val="20"/>
        </w:rPr>
      </w:pPr>
      <w:r>
        <w:rPr>
          <w:rFonts w:ascii="Times New Roman" w:hAnsi="Times New Roman"/>
          <w:sz w:val="20"/>
        </w:rPr>
        <w:t xml:space="preserve">Many of the Company’s competitors have substantially greater financial, technical and other resources, such as larger research and development staffs and experienced commercial and manufacturing organizations. Mergers and acquisitions in the biotechnology and pharmaceutical industries may result in even more resources being concentrated in the Company’s competitors. As a result, these companies may obtain regulatory approval more rapidly than the Company is able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commercial applicability of technologies and greater availability of capital for investment in these industries. Competitors may succeed in developing, acquiring or licensing on an exclusive basis drug products or drug delivery technologies that are more effective or less costly than EP-104 for any of the Company’s intended applications, or any other product candidate that the Company is currently developing or may develop.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its ability to compete effectively depends upon many factors both within and beyond the Company’s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usefulness, ease of use, performance and reliability of the Company’s technology compared to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activity, tolerability, and potential benefits of EP-104 and the Company’s other product candidates, including relative to marketed products and product candidates in development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distinguish safety and efficacy from existing, alternative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for product candidates to complete clinical development and receive market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EP-104 and any of the Company’s other product candidates that receive regulatory approval by patients, physicians and other health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monetize its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selection of licensing partners for its technology with the necessary skills and resources to drive uptake;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marketing and selling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maintain a good relationship with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of the Company’s future products, including in comparison to branded or generic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coverage and adequate levels of reimbursement are available under private and governmental health insurance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acquisitions or consolidations within the Company’s industry, which may result in more formidable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protect its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attract, retain and motivate talented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ability to cost-effectively manage and grow its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reputation and brand strength relative to that of its competitors.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future success will depend on our ability to continually enhance and develop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There is a broad pipeline of potential new therapies for pain. The market for pain management and treatment solutions is characterized by rapid technological change and the possibility of frequent new product introductions. Accordingly, the Company’s future success depends upon its ability to enhance its current product candidates and to develop, introduce and sell the most accurate products at competitive prices. The development of new technologies and products involves time, substantial costs and risks. The Company’s ability to successfully develop new technologies depends in large measure on its ability to maintain a technically skilled research and development staff and to adapt to technological changes and advances in the industry.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new product introductions depends on a number of factors including the efficacy and safety as demonstrated in clinical trials, the ability to demonstrate the impact of real world evidence, timely and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development, the timing and market introduction of competitive products, market acceptance, the effective management of purchase commitments and inventory levels in line with anticipated product demand, the availability of pharmaceutical components in appropriate quantities and costs to meet anticipated demand, the risk that new products may have quality or other defects in the early stages of introduction and the Company’s ability to manage distribution and production issues related to new product introductions, the clinical indications for which the product is approved, acceptance by physicians, the medical community and patients of the product as a safe and effective treatment, the ability to distinguish safety and efficacy from existing, less expensive alternative therapies, the convenience of prescribing, administrating and initiating patients on the product, the potential and perceived advantages and/or value of the product over alternative treatments, the cost of treatment in relation to alternative treatments, including any similar generic treatments, the availability of coverage and adequate reimbursement by third-party payors and government authorities to support the product’s pricing, the prevalence and severity of adverse events and the effectiveness of sales and marketing efforts.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is unable, for any reason, to enhance, develop, introduce and sell new products in a timely manner, or at all, in response to changing market conditions or customer requirements or otherwise, its business would be harmed. </w:t>
      </w:r>
    </w:p>
    <w:p>
      <w:pPr>
        <w:pStyle w:val="TextBody"/>
        <w:bidi w:val="0"/>
        <w:spacing w:before="240" w:after="0"/>
        <w:jc w:val="left"/>
        <w:rPr>
          <w:rFonts w:ascii="Times New Roman" w:hAnsi="Times New Roman"/>
          <w:sz w:val="20"/>
        </w:rPr>
      </w:pPr>
      <w:r>
        <w:rPr>
          <w:rFonts w:ascii="Times New Roman" w:hAnsi="Times New Roman"/>
          <w:sz w:val="20"/>
        </w:rPr>
        <w:t xml:space="preserve">Even if the Company successfully advances any other product candidates into clinical development, their success will be subject to all of the clinical, regulatory and commercial risks described elsewhere in this “Risk Factors” section. Accordingly, the Company cannot assure you that it will ever be able to discover, develop, obtain regulatory approval of, commercialize or generate significant revenue from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expend our limited resources to pursue a particular product candidate or indication and fail to capitalize on product candidates or indications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 or a greater likelihood of success. We are currently evaluating funding alternatives for the continued development of EP-104IAR, including potential partnership opportunities. As a result, we intend to use capital resources previously identified for EP-104IAR development to continue development of EP-104GI. We cannot be certain that our decision to prioritize development of EP-104GI over EP-104IAR will be beneficial to our shareholders.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methods of product candidate manufacturing or formulation may result in additional costs or delay. </w:t>
      </w:r>
    </w:p>
    <w:p>
      <w:pPr>
        <w:pStyle w:val="TextBody"/>
        <w:bidi w:val="0"/>
        <w:spacing w:before="120" w:after="0"/>
        <w:jc w:val="left"/>
        <w:rPr>
          <w:rFonts w:ascii="Times New Roman" w:hAnsi="Times New Roman"/>
          <w:sz w:val="20"/>
        </w:rPr>
      </w:pPr>
      <w:r>
        <w:rPr>
          <w:rFonts w:ascii="Times New Roman" w:hAnsi="Times New Roman"/>
          <w:sz w:val="20"/>
        </w:rPr>
        <w:t xml:space="preserve">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differentiate EP-104 from existing therapies, or if the FDA or other applicable regulatory authorities approve additional, and potentially less costly, therapies that compete with EP-104, our ability to successfully commercialize EP-104GI or EP-104IAR would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opportunities could be reduced or eliminated if existing or future therapies for EoE, OA or any other indication we may pursue are safer, more effective, have fewer or less severe adverse events, are more convenient or are less expensive than EP-104. The key competitive factors affecting the success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240" w:after="0"/>
        <w:jc w:val="left"/>
        <w:rPr>
          <w:rFonts w:ascii="Times New Roman" w:hAnsi="Times New Roman"/>
          <w:sz w:val="20"/>
        </w:rPr>
      </w:pPr>
      <w:r>
        <w:rPr>
          <w:rFonts w:ascii="Times New Roman" w:hAnsi="Times New Roman"/>
          <w:sz w:val="20"/>
        </w:rPr>
        <w:t>The current intra-articular standard of care for OA pain, immediate-release triamcinolone acetonide (“</w:t>
      </w:r>
      <w:r>
        <w:rPr>
          <w:rFonts w:ascii="Times New Roman" w:hAnsi="Times New Roman"/>
          <w:b/>
          <w:sz w:val="20"/>
        </w:rPr>
        <w:t>TCA</w:t>
      </w:r>
      <w:r>
        <w:rPr>
          <w:rFonts w:ascii="Times New Roman" w:hAnsi="Times New Roman"/>
          <w:sz w:val="20"/>
        </w:rPr>
        <w:t xml:space="preserve">”) and other injectable immediate-release steroids, are available in generic form and are therefore relatively inexpensive compared to the potential pricing for EP-104IAR. Although we believe our Phase 2 study provides preliminary evidence of extended pain relief, it is possible that we and any potential partner will receive data from additional clinical trials or in a post marketing setting from physician and patient experiences with the commercial product that does not continue to support such interpretations. It is also possible that the FDA, physicians and healthcare payors will not agree with our and any potential partner’s interpretation of existing and future clinical trial data. If we and any potential partner are unable to demonstrate the value of EP-104IAR based on clinical data, patient experience, as well as real world evidence, the opportunity for EP-104IAR to obtain premium pricing and be commercialized successfully would be adversely affected. </w:t>
      </w:r>
    </w:p>
    <w:p>
      <w:pPr>
        <w:pStyle w:val="TextBody"/>
        <w:bidi w:val="0"/>
        <w:spacing w:before="240" w:after="0"/>
        <w:jc w:val="left"/>
        <w:rPr>
          <w:rFonts w:ascii="Times New Roman" w:hAnsi="Times New Roman"/>
          <w:sz w:val="20"/>
        </w:rPr>
      </w:pPr>
      <w:r>
        <w:rPr>
          <w:rFonts w:ascii="Times New Roman" w:hAnsi="Times New Roman"/>
          <w:sz w:val="20"/>
        </w:rPr>
        <w:t>In addition to existing treatments, the FDA or other applicable regulatory authorities may approve other generic products that could compete with EP-104 if we cannot adequately protect it with our patent portfolio. For example, in the United States, once an NDA, including a Section 505(b)(2) application, is approved, the product covered thereby becomes a “listed drug” which can, in turn, be cited by potential competitors in support of approval of an abbreviated new drug application (“</w:t>
      </w:r>
      <w:r>
        <w:rPr>
          <w:rFonts w:ascii="Times New Roman" w:hAnsi="Times New Roman"/>
          <w:b/>
          <w:sz w:val="20"/>
        </w:rPr>
        <w:t>ANDA</w:t>
      </w:r>
      <w:r>
        <w:rPr>
          <w:rFonts w:ascii="Times New Roman" w:hAnsi="Times New Roman"/>
          <w:sz w:val="20"/>
        </w:rPr>
        <w:t xml:space="preserve">”). The Federal Food, Drug, and Cosmetic Act,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conditions of use, or labeling as our product candidate and that the generic product is bioequivalent to ours, meaning it is absorbed in the body at the same rate and to the same extent as EP-104. These generic equivalents, which must meet the same quality standards as branded pharmaceuticals, would be significantly less costly than ours to bring to market and companies that produce generic equivalents are generally able to offer their products at lower prices. Thus, after the introduction of a generic competitor, a significant percentage of the sales of any branded product is typically lost to the generic product. Accordingly, competition from generic equivalents to our products would materially adversely impact our ability to successfully commercialize EP-104. </w:t>
      </w:r>
    </w:p>
    <w:p>
      <w:pPr>
        <w:pStyle w:val="TextBody"/>
        <w:bidi w:val="0"/>
        <w:spacing w:before="360" w:after="0"/>
        <w:jc w:val="left"/>
        <w:rPr>
          <w:rFonts w:ascii="Times New Roman" w:hAnsi="Times New Roman"/>
          <w:b/>
          <w:i/>
          <w:sz w:val="20"/>
        </w:rPr>
      </w:pPr>
      <w:r>
        <w:rPr>
          <w:rFonts w:ascii="Times New Roman" w:hAnsi="Times New Roman"/>
          <w:b/>
          <w:i/>
          <w:sz w:val="20"/>
        </w:rPr>
        <w:t xml:space="preserve">A variety of risks associated with potential international business relationships could materially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intends to evaluate from time to time entering into agreements with third parties for the development and commercialization of EP-104IAR and may in the future seek to enter into similar agreements for other product candidates in international markets. If the Company does so, the Company would be subject to additional risks related to entering into international business relationships,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differing regulatory requirements in other countries including, among others, marketing approval, pricing, reimbursement and sales and marketing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for so-called parallel importing, which is when a local seller, faced with higher local prices, opts to import goods from a foreign market with lower prices, rather than buying them locally;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unexpected changes in tariffs, trade barriers and regulatory requirements, including tariffs being imposed by the current U.S. presidential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weakness, including inflation, or political instability in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tax, employment, immigration and labor laws for employees traveling and working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fluctuations, which could result in increased operating expenses and reduced revenues, and other risks incident to doing business in another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workforce uncertainty in countries where labor unrest is more common than in Canada or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production shortages resulting from any events affecting raw material supply or manufacturing capabilities abroad or supply chain disruptions;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geo-political actions, including war and terrorism, or natural disasters, including earthquakes, volcanoes, typhoons, floods, tsunamis, hurricanes and fires.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and other risks may materially adversely affect the Company’s ability to develop and commercialize products in international markets and may harm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there is currently significant uncertainty about the future relationship between the United States and various other countries, including Canada, Mexico, and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on December 18, 2025, the BIOSECURE Act was signed into law. The Act limits US government procurement from and grants to “biotechnology companies of concerns” (BCCs). Under the Act, US government agencies cannot buy or obtain biotechnology equipment or services provided by a BCC; enter into, extend, or renew a contract with any entity using biotechnology equipment or services provided by a BCC to perform a government contract; or expend loan or grant funds for biotechnology equipment or services provided by a BCC, whether directly or through a loan or grant recipient. Any company on the Department of Defense list of “Chinese military companies” will be treated as a BCC. Pursuant to the Act, a full list of BCCs will be released by the US Office of Management and Budget by December 18, 2026. The Act has potentially significant implications for pharmaceutical manufacturers that rely on biotechnology equipment or services from a BCC, including whether their products are listed on the Department of Veterans Affairs’ Federal Supply Schedule which is required for reimbursement eligibility under Medicaid and Medicare Part B programs. Although the Act includes safe harbors and provisions designed to avoid collateral consequences for reimbursement under Medicaid and Medicare Part B, the potential impact on the pharmaceutical industry in general and our business is uncertain.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impact actions taken with respect to trade relations between the United States, Canada, Mexico, and China or other countries, what products and services may be subject to such actions or what actions may be taken by the other countries in retaliation. If we are unable to obtain or use services from existing service providers or become unable to export or sell products for which we receive marketing authorization to any of our customers or service providers, our business, liquidity, financial condition, and/or results of operations would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Collaboration arrangements we may enter into in the future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the Company evaluates various partnerships, collaborations and other strategic transaction and may seek to enter into such transactions to help maximize the commercial potential of EP-104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Company’s other product candidates. In particular, the Company is evaluating funding alternatives for the continued development of EP-104IAR, including potential partnerships. The Company may enter into such arrangements on a selective basis depending on the merits of retaining commercialization rights as compared to entering into selective collaboration arrangements with leading pharmaceutical or biotechnology companies for EP-104 for any intended application and other product candidates, both in the United States and internationally. The Company faces competition in seeking appropriate collaborators. Moreover, collaboration arrangements are complex and time consuming to negotiate, document and implement. The Company may not be successful in its efforts to establish and implement collaborations or other alternative arrangements should the Company choose to enter into such arrangements. The terms of any collaborations or other arrangements that the Company may establish may not be favorable to the Company . </w:t>
      </w:r>
    </w:p>
    <w:p>
      <w:pPr>
        <w:pStyle w:val="TextBody"/>
        <w:bidi w:val="0"/>
        <w:spacing w:before="240" w:after="0"/>
        <w:jc w:val="left"/>
        <w:rPr>
          <w:rFonts w:ascii="Times New Roman" w:hAnsi="Times New Roman"/>
          <w:sz w:val="20"/>
        </w:rPr>
      </w:pPr>
      <w:r>
        <w:rPr>
          <w:rFonts w:ascii="Times New Roman" w:hAnsi="Times New Roman"/>
          <w:sz w:val="20"/>
        </w:rPr>
        <w:t xml:space="preserve">Even if the Company enters into partnerships, collaborations or other strategic transactions, such transactions that it enters into may not be successful. The success of any such arrangements will depend heavily on the efforts and activities of the Company’s collaborators. Collaborators generally have significant discretion in determining the efforts and resources that they will apply to these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Disagreements between parties to a collaboration arrangement regarding clinical development and commercialization matters could lead to delays in the development process or commercialization of the Company’s product candidates and in some cases, termination of the collaboration arrangement. These disagreements can be difficult to resolve if neither of the parties has final decision-making authority. </w:t>
      </w:r>
    </w:p>
    <w:p>
      <w:pPr>
        <w:pStyle w:val="TextBody"/>
        <w:bidi w:val="0"/>
        <w:spacing w:before="240" w:after="0"/>
        <w:jc w:val="left"/>
        <w:rPr>
          <w:rFonts w:ascii="Times New Roman" w:hAnsi="Times New Roman"/>
          <w:sz w:val="20"/>
        </w:rPr>
      </w:pPr>
      <w:r>
        <w:rPr>
          <w:rFonts w:ascii="Times New Roman" w:hAnsi="Times New Roman"/>
          <w:sz w:val="20"/>
        </w:rPr>
        <w:t xml:space="preserve">Collaborations with pharmaceutical or biotechnology companies and other third parties often are terminated or allowed to expire by the other party. If the Company’s does enter into partnerships, collaborations or other strategic transactions, any such termination or expiration could adversely affect the Company financially and could harm the Company’s business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acquire businesses or products, or form strategic alliances in the future, and we may not realize the benefits of such acquisitions or alliances.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acquire additional businesses or products, form strategic alliances or create joint ventures with third parties that the Company believes will complement or augment the Company’s existing business. If the Company acquires businesses with promising markets or technologies, the Company may not be able to realize the benefit of acquiring such businesses if the Company is unable to successfully integrate them with the Company’s existing operations and company culture. The Company may encounter numerous difficulties in developing, manufacturing and marketing any new products resulting from a strategic alliance or acquisition that delay or prevent the Company from realizing their expected benefits or enhancing the Company’s business. The Company cannot assure you that, following any such acquisition, the Company will achieve the expected synergies to justify the transaction. In addition, the Company may require significant additional funds to either acquire such businesses or products or to commercialize them, which may result in significant dilution to shareholders or the incurrence of significant indebtedness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traditionally relied on key collaborations and grants.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programs of the Company may require substantial additional cash. Traditionally, the Company has received funds under grant reward programs to fund portions of such development. The grants the Company has received may become subject to repayment in full, under certain conditions. The Company cannot provide assurance that grants it have received will not become subject to repayment, that the Company will continue to receive all or any of the grant funding that it apply for, that such grants if received will provide sufficient funding or that it will be able to establish future collaborations on commercially reasonable terms or at all. Inability to obtain grant funding and establish collaboration agreements may result in product development delays or cancellation, particularly in regard to pipeline programs. In addition, the success of collaboration agreements will depend heavily on the efforts and activities of the third-party collaborators, which are outside the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evolving global laws and regulations relating to privacy, data protection and information security, which may require us to incur substantial compliance costs, and changes in such laws and regulations any failure or perceived failure by us to comply with such laws and regulations may harm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process personal data and other sensitive information, including our proprietary and confidential business data, trade secrets, intellectual property, data about trial participants collected in connection with clinical trials,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spacing w:before="240" w:after="0"/>
        <w:jc w:val="left"/>
        <w:rPr>
          <w:rFonts w:ascii="Times New Roman" w:hAnsi="Times New Roman"/>
          <w:sz w:val="20"/>
        </w:rPr>
      </w:pPr>
      <w:r>
        <w:rPr>
          <w:rFonts w:ascii="Times New Roman" w:hAnsi="Times New Roman"/>
          <w:sz w:val="20"/>
        </w:rPr>
        <w:t>In the United States, federal, state, and local governments have enacted numerous data privacy and security laws, including data breach notification laws, personal data privacy laws, and consumer protection laws. For example, the U.S. federal Health Insurance Portability and Accountability Act of 1996 (“</w:t>
      </w:r>
      <w:r>
        <w:rPr>
          <w:rFonts w:ascii="Times New Roman" w:hAnsi="Times New Roman"/>
          <w:b/>
          <w:sz w:val="20"/>
        </w:rPr>
        <w:t>HIPAA</w:t>
      </w:r>
      <w:r>
        <w:rPr>
          <w:rFonts w:ascii="Times New Roman" w:hAnsi="Times New Roman"/>
          <w:sz w:val="20"/>
        </w:rPr>
        <w:t>”), as amended by the Health Information Technology for Economic and Clinical Health Act of 2009 (“</w:t>
      </w:r>
      <w:r>
        <w:rPr>
          <w:rFonts w:ascii="Times New Roman" w:hAnsi="Times New Roman"/>
          <w:b/>
          <w:sz w:val="20"/>
        </w:rPr>
        <w:t>HITECH</w:t>
      </w:r>
      <w:r>
        <w:rPr>
          <w:rFonts w:ascii="Times New Roman" w:hAnsi="Times New Roman"/>
          <w:sz w:val="20"/>
        </w:rPr>
        <w:t>”), imposes specific requirements relating to the privacy, security, and transmission of individually identifiable health information. At the state level, the California Consumer Privacy Act of 2018 (“</w:t>
      </w:r>
      <w:r>
        <w:rPr>
          <w:rFonts w:ascii="Times New Roman" w:hAnsi="Times New Roman"/>
          <w:b/>
          <w:sz w:val="20"/>
        </w:rPr>
        <w:t>CCPA</w:t>
      </w:r>
      <w:r>
        <w:rPr>
          <w:rFonts w:ascii="Times New Roman" w:hAnsi="Times New Roman"/>
          <w:sz w:val="20"/>
        </w:rPr>
        <w:t xml:space="preserve">”), as amended and supplemented by the California Privacy Rights Act, imposes obligations on businesses to which it applies. The CCPA allows for statutory fines for noncompliance. Although the CCPA exempts some data processed in the context of clinical trials, the CCPA, to the extent applicable to our business and operations, may increase compliance costs and potential liability with respect to other personal information we may maintain about California residents. Other states have also enacted data privacy laws, including sector-specific laws such as Washington’s My Health, My Data Act, and numerous general privacy laws that share similarities with the CCPA. Additional data privacy and security laws have been proposed at the federal, state, and local levels in recent years, which could further complicate compliance efforts. </w:t>
      </w:r>
    </w:p>
    <w:p>
      <w:pPr>
        <w:pStyle w:val="TextBody"/>
        <w:bidi w:val="0"/>
        <w:spacing w:before="240" w:after="0"/>
        <w:jc w:val="left"/>
        <w:rPr>
          <w:rFonts w:ascii="Times New Roman" w:hAnsi="Times New Roman"/>
          <w:sz w:val="20"/>
        </w:rPr>
      </w:pPr>
      <w:r>
        <w:rPr>
          <w:rFonts w:ascii="Times New Roman" w:hAnsi="Times New Roman"/>
          <w:sz w:val="20"/>
        </w:rPr>
        <w:t>Outside the U.S., the European Union’s general data protection regulation (“</w:t>
      </w:r>
      <w:r>
        <w:rPr>
          <w:rFonts w:ascii="Times New Roman" w:hAnsi="Times New Roman"/>
          <w:b/>
          <w:sz w:val="20"/>
        </w:rPr>
        <w:t>EU GDPR</w:t>
      </w:r>
      <w:r>
        <w:rPr>
          <w:rFonts w:ascii="Times New Roman" w:hAnsi="Times New Roman"/>
          <w:sz w:val="20"/>
        </w:rPr>
        <w:t xml:space="preserve">”) and the United Kingdom’s general data protection regulation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other foreign jurisdictions have enacted laws and regulations relating to privacy, data protection, and information security, as well as certain data localization laws and cross-border personal data transfer laws, that could make it more difficult to transfer information across jurisdictions, such as transferring or receiving personal data that originates in the EU. For example, in Canada, where we are headquartered, federal and provincial legislation impose strict requirements for the processing of personal data of individuals, with substantial penalties for noncompliance. </w:t>
      </w:r>
    </w:p>
    <w:p>
      <w:pPr>
        <w:pStyle w:val="TextBody"/>
        <w:bidi w:val="0"/>
        <w:spacing w:before="240" w:after="0"/>
        <w:jc w:val="left"/>
        <w:rPr>
          <w:rFonts w:ascii="Times New Roman" w:hAnsi="Times New Roman"/>
          <w:sz w:val="20"/>
        </w:rPr>
      </w:pPr>
      <w:r>
        <w:rPr>
          <w:rFonts w:ascii="Times New Roman" w:hAnsi="Times New Roman"/>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with laws, regulations or other actual or asserted obligations relating to privacy, data protection or information security, and could face significant consequences. These consequences may include, but are not limited to, government enforcement actions, investigations and other proceedings; private claims, demands, and litigation; additional reporting requirements and/or oversight; bans on processing personal data; orders to destroy or not use personal data; imprisonment of company officials and fines, penalties, and other liabilities.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and operations could suffer in the event of an actual or perceived information security incident such as a cybersecurity breach, system failure, or other compromise of our systems or those of a third-party or other contractor or vendor. </w:t>
      </w:r>
    </w:p>
    <w:p>
      <w:pPr>
        <w:pStyle w:val="TextBody"/>
        <w:bidi w:val="0"/>
        <w:spacing w:before="120" w:after="0"/>
        <w:jc w:val="left"/>
        <w:rPr>
          <w:rFonts w:ascii="Times New Roman" w:hAnsi="Times New Roman"/>
          <w:sz w:val="20"/>
        </w:rPr>
      </w:pPr>
      <w:r>
        <w:rPr>
          <w:rFonts w:ascii="Times New Roman" w:hAnsi="Times New Roman"/>
          <w:sz w:val="20"/>
        </w:rPr>
        <w:t xml:space="preserve">We rely on both internal information technology systems and networks, and those of third parties and their vendors and contractors, to transmit, store and otherwise process information in connection with our business activities. We are increasingly dependent upon our technology systems to operate our business and our ability to effectively manage our business depends on the security, reliability and adequacy of our and our third-party or other contractors’ or vendors’ technology systems and data. Any cyberattack, including phishing or other forms of social engineering, business email compromise, ransomware or other malware, or any security breach, security incident, or other destruction, loss, or unauthorized use, modification,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trial data from completed or ongoing clinical trials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to our reputation, and subject us to claims, demands and litigation by private parties and governmental investigations and other proceedings by federal, state and local regulatory entities in the U.S. and by international regulatory entities, resulting in exposure to material civil and/or criminal proceedings and liability. In addition, we may incur significant additional expense to implement further measures and policies relating to privacy, data protection and information security, whether in response to an actual or perceived security breach or incident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To date, although we have faced cyberattacks and suffered information security incidents, we have not experienced any material impact to our business, financial position or operations resulting from cyberattacks or other information security incidents of which we are aware; however, because of frequently changing attack techniques, along with the increased volume and sophistication of such attacks, our business, financial position or operations could be adversely impacted in the future. Moreover, the prevalent use of mobile devices that access confidential information, widespread use of cloud-based applications with remote data centers, and ability to work remotely all increase the risk of security breaches and incidents. These risks may be heightened due to the increasing number of our and our vendors’ and contractors’ personnel working remotely. Further geopolitical events such as wars and conflicts may increase the cybersecurity threats we and the third parties we work with face. As cyber threats continue to evolve, we may be required to expend significant additional resources to continue to modify or enhance our protective measures or to investigate and remediate information security vulnerabilities. While we have implemented security measures, our computer systems and the external systems and services used by our third-party contract manufacturers and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incidents, and we cannot be sure that such coverage will continue to be available on acceptable terms or at all. In addition, regulators are considering new cybersecurity laws and regulations. These proposed laws and regulations may impact the manner in which we operate and require us to incur increasing costs. </w:t>
      </w:r>
    </w:p>
    <w:p>
      <w:pPr>
        <w:pStyle w:val="TextBody"/>
        <w:bidi w:val="0"/>
        <w:spacing w:before="240" w:after="0"/>
        <w:jc w:val="left"/>
        <w:rPr>
          <w:rFonts w:ascii="Times New Roman" w:hAnsi="Times New Roman"/>
          <w:sz w:val="20"/>
        </w:rPr>
      </w:pPr>
      <w:r>
        <w:rPr>
          <w:rFonts w:ascii="Times New Roman" w:hAnsi="Times New Roman"/>
          <w:sz w:val="20"/>
        </w:rPr>
        <w:t xml:space="preserve">Any of the foregoing security risks could have a material adverse effect on our business, results of operations, or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fail to manage our growth successfully which may adversely impact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failure to manage its growth successfully may adversely impact its operating results. The Company’s ability to manage growth will require it to continue to build its operational, financial and management controls, contracting relationships, marketing and business development plans and controls and reporting systems and procedures. The Company’s ability to manage its growth will also depend in large part upon a number of factors, including the ability for it to rapidly: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its internal and operational and financial controls significantly so that it can maintain control over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attract and retain qualified technical personnel in order to continue to develop its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 commercial infrastructure following any approval of product candidates.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inability to achieve any of these objectives could harm the business, financial condition and results of operations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the protection of our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commercial success depends to a significant degree upon its ability to develop new or improved technologies, instruments and products, and to obtain patents or other intellectual property rights or statutory protection for these technologies and products in Canada, the United States and other countries, such as the countries in the European Union and Asia. The Company intends to patent concepts, components, processes, industrial designs and methods, and other inventions and technologies that it considers to have commercial value or that will likely give it a competitive advantage. Despite devoting resources to the research and development of proprietary technology, the Company may not be able to develop new technology that is patentable or protectable. Further, patents issued to the Company, if any, could be challenged, held invalid or unenforceable, or be circumvented and may not provide the Company with necessary or sufficient protection or a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In addition, despite its efforts to protect and maintain its patents, competitors and other third parties may be able to design around the Company’s patents, if so awarded, or develop products similar to its products that are not within the scope of such patents. Finally, patents provide certain statutory protection for a limited period of time that varies depending on the jurisdiction and type of patent. The statutory protection term of the Company’s material patents will expire at some time and thereafter the underlying technology of such patents will be allowed to be used by any third party, including its competitors. Moreover, the inventions covered by patents may be free to be used in countries for which there is no patent protection. A number of the Company’s competitors and other third parties have been issued patents, or may have filed patent applications, or may obtain additional patents or other intellectual property rights for technologies similar to those that the Company has developed, used or commercialized, or may develop, use or commercialize in the future. As certain patent applications in the United States and other countries are maintained in secrecy for a period of time after filing, and as publication or public awareness of new technologies often lags behind actual discoveries, the Company cannot be certain that it has been the first to develop the technology covered by its pending patent applications. In addition, the disclosure in its patent applications, including in respect of the utility of its claimed inventions, may not be sufficient to meet the statutory requirements for patentability in all cases. As a result, the Company cannot assure that its patent applications will result in valid or enforceable patents. </w:t>
      </w:r>
    </w:p>
    <w:p>
      <w:pPr>
        <w:pStyle w:val="TextBody"/>
        <w:bidi w:val="0"/>
        <w:spacing w:before="240" w:after="0"/>
        <w:jc w:val="left"/>
        <w:rPr>
          <w:rFonts w:ascii="Times New Roman" w:hAnsi="Times New Roman"/>
          <w:sz w:val="20"/>
        </w:rPr>
      </w:pPr>
      <w:r>
        <w:rPr>
          <w:rFonts w:ascii="Times New Roman" w:hAnsi="Times New Roman"/>
          <w:sz w:val="20"/>
        </w:rPr>
        <w:t xml:space="preserve">Prosecution and protection of the rights sought in patent applications and patents can be costly and uncertain, often involve complex legal and factual issues and consume significant time and resources. In addition, the breadth of claims allowed in the Company’s future patents, their enforceability and its ability to protect and maintain them cannot be predicted with any certainty. The laws of certain countries may not protect intellectual property rights to the same extent as the laws of Canada or the United States. Even if its patents are held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valid and enforceable in a certain jurisdiction, any legal proceedings that the Company may initiate against third parties to enforce such patents will likely be expensive, take significant time and divert management’s attention from other business matters. The Company cannot assure that any of its pending patent applications will provide any protectable, maintainable or enforceable rights or competitive advantages to 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patents, the Company relies on a combination of industrial designs, trademarks, trade secrets and other related laws and confidentiality procedures and contractual provisions to protect, maintain and enforce its proprietary technology and intellectual property rights in the United States, Canada and other countries. However, the Company’s ability to protect its brand by registering certain trademarks may be limited. In addition, while the Company generally enters into confidentiality and non-disclosure agreements with its employees, consultants and contractors to attempt to limit access to and distribution of its proprietary and confidential information, it is possible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misappropriation of its proprietary and confidential information, including technology, will nevertheless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confidentiality agreements will not be honored or may be rendered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 parties will independently develop equivalent, superior or competitive technology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will arise concerning the ownership, validity, enforceability, use patentability or registrability of intellectual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unauthorized disclosure of its know-how, trade secrets or other proprietary or confidential information will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cannot assure that it will be successful in protecting, maintaining or enforcing its intellectual property rights. If it is not successful in protecting, maintaining or enforcing its intellectual property rights, then the Company’s business, operating results and financial condition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enforce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The laws of some foreign countries do not protect intellectual property rights to the same extent as the laws of Canada and the United States. Many companies have encountered significant problems in protecting and defending intellectual property rights in certain foreign jurisdictions. The legal systems of some countries, particularly developing countries, do not favour the enforcement of patents and other intellectual property protection, especially those relating to life sciences. To the extent that the Company has obtained or is able to obtain patents or other intellectual property rights in any foreign jurisdictions, it may be difficult for the Company to stop the infringement of the Company’s patents or the misappropriation of other intellectual property rights. For example, some foreign countries have compulsory licensing laws under which a patent owner must grant licenses to third parties. In addition, many countries limit the availability of certain types of patent rights and enforceability of patents against third parties, including government agencies or government contractors. In these countries, patents may provide limited or no benefit. </w:t>
      </w:r>
    </w:p>
    <w:p>
      <w:pPr>
        <w:pStyle w:val="TextBody"/>
        <w:bidi w:val="0"/>
        <w:spacing w:before="240" w:after="0"/>
        <w:jc w:val="left"/>
        <w:rPr>
          <w:rFonts w:ascii="Times New Roman" w:hAnsi="Times New Roman"/>
          <w:sz w:val="20"/>
        </w:rPr>
      </w:pPr>
      <w:r>
        <w:rPr>
          <w:rFonts w:ascii="Times New Roman" w:hAnsi="Times New Roman"/>
          <w:sz w:val="20"/>
        </w:rPr>
        <w:t xml:space="preserve">Proceedings to enforce the Company’s patent rights in foreign jurisdictions could result in substantial costs and divert the Company’s efforts and attention from other aspects of the Company’s business. Accordingly, the Company’s efforts to protect the Company’s intellectual property rights in such countries may be inadequate.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Guidelines and recommendations published by various organizations can reduce the use of products that we may commercialize. </w:t>
      </w:r>
    </w:p>
    <w:p>
      <w:pPr>
        <w:pStyle w:val="TextBody"/>
        <w:bidi w:val="0"/>
        <w:spacing w:before="120" w:after="0"/>
        <w:jc w:val="left"/>
        <w:rPr>
          <w:rFonts w:ascii="Times New Roman" w:hAnsi="Times New Roman"/>
          <w:sz w:val="20"/>
        </w:rPr>
      </w:pPr>
      <w:r>
        <w:rPr>
          <w:rFonts w:ascii="Times New Roman" w:hAnsi="Times New Roman"/>
          <w:sz w:val="20"/>
        </w:rPr>
        <w:t xml:space="preserve">Government agencies promulgate regulations and guidelines directly applicable to us and to our product candidates and any future products. In addition, professional societies, such as the American Gastroenterological Association, the Joint Task Force for Allergy-Immunology Practice Parameters, the American College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Rheumatology, practice management groups, private health and science foundations and organizations involved in various diseases from time to time may also publish guidelines or recommendations to the healthcare and patient communities with respect to specific products. Recommendations of government agencies or these other groups or organizations may relate to such matters as usage, dosage, route of administration and use of concomitant therapies. Recommendations or guidelines that do not recognize the Company’s future products, suggest limitations or inadequacies of the Company’s future products, or suggest the use of competitive or alternative products as the standard of care to be followed by patients and healthcare providers, could result in decreased use or adoption of the Company’s future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reform legislation in the United States could increase the uncertainties and costs surrounding the prosecution of our patent applications and the enforcement or defense of our issued patents.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16, 2011, the </w:t>
      </w:r>
      <w:r>
        <w:rPr>
          <w:rFonts w:ascii="Times New Roman" w:hAnsi="Times New Roman"/>
          <w:i/>
          <w:sz w:val="20"/>
        </w:rPr>
        <w:t xml:space="preserve">Leahy-Smith America Invents Act </w:t>
      </w:r>
      <w:r>
        <w:rPr>
          <w:rFonts w:ascii="Times New Roman" w:hAnsi="Times New Roman"/>
          <w:sz w:val="20"/>
        </w:rPr>
        <w:t>(the “</w:t>
      </w:r>
      <w:r>
        <w:rPr>
          <w:rFonts w:ascii="Times New Roman" w:hAnsi="Times New Roman"/>
          <w:b/>
          <w:sz w:val="20"/>
        </w:rPr>
        <w:t>Leahy-Smith Act</w:t>
      </w:r>
      <w:r>
        <w:rPr>
          <w:rFonts w:ascii="Times New Roman" w:hAnsi="Times New Roman"/>
          <w:sz w:val="20"/>
        </w:rPr>
        <w: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United States Patent and Trademark Office (“</w:t>
      </w:r>
      <w:r>
        <w:rPr>
          <w:rFonts w:ascii="Times New Roman" w:hAnsi="Times New Roman"/>
          <w:b/>
          <w:sz w:val="20"/>
        </w:rPr>
        <w:t>USPTO</w:t>
      </w:r>
      <w:r>
        <w:rPr>
          <w:rFonts w:ascii="Times New Roman" w:hAnsi="Times New Roman"/>
          <w:sz w:val="20"/>
        </w:rPr>
        <w:t xml:space="preserve">”) and may become involved in post-grant proceedings including opposition, derivation, re-examination, </w:t>
      </w:r>
      <w:r>
        <w:rPr>
          <w:rFonts w:ascii="Times New Roman" w:hAnsi="Times New Roman"/>
          <w:i/>
          <w:sz w:val="20"/>
        </w:rPr>
        <w:t xml:space="preserve">inter partes </w:t>
      </w:r>
      <w:r>
        <w:rPr>
          <w:rFonts w:ascii="Times New Roman" w:hAnsi="Times New Roman"/>
          <w:sz w:val="20"/>
        </w:rPr>
        <w:t xml:space="preserve">review or interference proceedings challenging the Company’s patent rights or the patent rights of others. An adverse determination in any such submission, proceeding or litigation could reduce the scope or enforceability of, or invalidate, the Company’s patent rights, which could adversely affect the Company’s competitive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that the Leahy-Smith Act will have on the operation of the Company’s business is not clear. The Leahy-Smith Act and its implementation could increase the uncertainties and costs surrounding the prosecution of the Company’s patent applications and the enforcement or defense of the Company’s issued patents, as well as the Company’s ability to bring about timely favourable resolution of any disputes involving the Company’s patents and the patents of others.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Non-compliance with regulatory requirements may reduce or eliminate our patent protection.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unenforceability, invalidity, abandonment or lapse of the patent or patent application, resulting in partial or complete loss of patent rights in the relevant jurisdiction. Non-compliance events that could result in unenforceability, invalidity, abandonment or lapse of a patent or patent application include, but are not limited to, failure to respond to official actions within prescribed time limits, non-payment of fees and failure to properly legalize and submit formal documents. If the Company or any future licensors fail to maintain the patents and patent applications covering the Company’s product candidates, the Company’s competitive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infringe the intellectual property rights of others.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commercial success depends, in part, upon it not infringing or violating intellectual property rights owned by others. The industry in which the Company competes has participants that own, or claim to own, intellectual property. The Company cannot determine with certainty whether any existing third-party patents,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issuance of any new third-party patents, would require it to alter its technologies or products, obtain licenses or cease certain activities, including the sale of certain products.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 the future receive claims from third parties asserting infringement and other related claims. Litigation may be necessary to determine the scope, enforceability and validity of third-party intellectual property rights or to protect, maintain and enforce the Company’s intellectual property rights. Some of the Company’s competitors have, or are affiliated with companies having, substantially greater resources than it has, and these competitors may be able to sustain the costs of complex intellectual property litigation to a greater degree and for longer periods of time than the Company can. Regardless of whether claims that it is infringing or violating patents or other intellectual property rights have any merit, those claims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Company’s relationships with current or future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its reputation with suppliers, payors or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time-consuming and expensive to evaluate and defend;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divert management’s attention and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the Company to significant liabilities and damages;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it to enter into royalty or licensing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it to cease certain activities, including the sale of products.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it is determined that the Company has infringed upon, violated or is infringing upon or violating a patent or the intellectual property right of any other person, or if it is found liable in respect of any other related claim, then in addition to being liable for potentially substantial damages, the Company may be prohibited from developing, using, distributing, selling or commercializing certain of its technologies and products unless it obtains a license from the holder of the patent or other intellectual property right. The Company cannot assure that it will be able to obtain any such license on a timely basis or on commercially favourable terms, or that any such licenses will be available, or that workarounds will be feasible and cost-efficient. If it does not obtain such a license or find a cost-efficient workaround, the Company’s business, operating results and financial condition could be materially adversely affected and it could be required to cease related business operations in some markets and restructure its business to focus on its continuing operations in other 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claims arising from consultants or contractors misappropriating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Many of the Company’s consultants and contractors were previously or are concurrently employed at or engaged by biotechnology companies, and/or other pharmaceutical companies, including the Company’s competitors or potential competitors, or academic research institutions. Some of these consultants and contractors, including each member of the Company’s senior management or the Company’s other employees, may have executed proprietary rights, nondisclosure and non-competition agreements in connection with such previous or concurrent employment. The Company may be subject to claims that the Company or its consultants and contractors have used or disclosed the intellectual property and other proprietary information or know-how or trade secrets of others in their work for the Company. Litigation may be necessary to defend against these claims. The Company is not aware of any threatened or pending claims related to these matters or concerning agreements with the Company’s senior management, or other of the Company’s employees, consultants, and contractors, but litigation may be necessary in the future to defend against such claims. If the Company fails in defending any such claims, in addition to paying monetary damages, the Company may lose valuable intellectual property rights, or personnel or access to consultants and contractors. Even if the Company is successful in defending against such claims, litigation could result in substantial costs and be a distraction to management.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while the Company’s policy is to require the Company’s consultants and contractors who may be involved in the development of intellectual property to execute agreements assigning such intellectual property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Company may be unsuccessful in executing such an agreement with each party who in fact develops intellectual property that the Company regards as the Company’s own, which may result in claims by or against the Company related to the ownership of such intellectual property. If the Company fails in prosecuting or defending any such claims, in addition to paying monetary damages, the Company may lose valuable intellectual property rights. Even if the Company is successful in prosecuting or defending against such claims, litigation could result in substantial costs and be a distraction to the Company’s management and scientific personnel.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use hazardous chemicals and biological materials in our business. Any claims relating to improper handling, storage or disposal of these materials could be time consuming and costly. </w:t>
      </w:r>
    </w:p>
    <w:p>
      <w:pPr>
        <w:pStyle w:val="TextBody"/>
        <w:bidi w:val="0"/>
        <w:spacing w:before="120" w:after="0"/>
        <w:jc w:val="left"/>
        <w:rPr>
          <w:rFonts w:ascii="Times New Roman" w:hAnsi="Times New Roman"/>
          <w:sz w:val="20"/>
        </w:rPr>
      </w:pPr>
      <w:r>
        <w:rPr>
          <w:rFonts w:ascii="Times New Roman" w:hAnsi="Times New Roman"/>
          <w:sz w:val="20"/>
        </w:rPr>
        <w:t xml:space="preserve">Our product manufacturing, research and development, and testing activities involve the controlled use of hazardous materials, including chemicals and biological materials. We cannot eliminate the risks of accidental contamination or the accidental discharge of these materials, or any resulting injury from such an event. We may be subjected to litigation for any injury that results from our use or the use by third parties of these materials, and our liability may exceed our insurance coverage and our total assets. Our use, manufacture, storage, handling and disposal of these hazardous materials and specified waste products, as well as the discharge of pollutants into the environment and human health and safety matters, are governed by federal, state, provincial and local legislation. We are also subject to various laws and regulations relating to safe working conditions, laboratory and manufacturing practices. Our operations may require that environmental permits and approvals be issued by applicable government agencies, which can be costly and time-consuming to attain. These regulations and legislation can change, or new ones come into place, due to future legislative or administrative actions. These events could cause us to incur additional expense or restrict our operations. Compliance with environmental laws and regulations, current or future, may be expensive and prohibitive for our research, development, or production efforts. Failure to comply could incur substantial costs and liabilities, including civil or criminal fines and penalties, clean-up costs or capital expenditures to achieve and maintain 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product liability lawsuits are brought against us, then we may incur substantial liabilities and may be required to limit commercialization of EP-104, if approved for any indication, and any other future products. </w:t>
      </w:r>
    </w:p>
    <w:p>
      <w:pPr>
        <w:pStyle w:val="TextBody"/>
        <w:bidi w:val="0"/>
        <w:spacing w:before="120" w:after="0"/>
        <w:jc w:val="left"/>
        <w:rPr>
          <w:rFonts w:ascii="Times New Roman" w:hAnsi="Times New Roman"/>
          <w:sz w:val="20"/>
        </w:rPr>
      </w:pPr>
      <w:r>
        <w:rPr>
          <w:rFonts w:ascii="Times New Roman" w:hAnsi="Times New Roman"/>
          <w:sz w:val="20"/>
        </w:rPr>
        <w:t xml:space="preserve">The Company faces a potential risk of product liability as a result of distribution of its product candidates for testing and commercialization of EP-104 for any indication and other pipeline products, if approved. For example, the Company may face claims if use of EP-104 allegedly causes injury or is found to be otherwise unsuitable during product testing, manufacturing, marketing or sale. Any such product liability claims may include allegations of defects in manufacturing, defects in product quality, a failure to warn of dangers inherent in the product candidate or product, negligence, strict liability or a breach of warranties. Claims could also be asserted under state consumer protection acts. If the Company cannot successfully defend itself against product liability claims, the Company may incur substantial liabilities or be required to limit commercialization of the product subject to such claims. Even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any current and future approved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the Company’s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any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management’s time and the Company’s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commercialize EP-104 for any indication and other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 in the Company’s stock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adverse publicity.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Company currently has product liability insurance in place, the Company does not know whether the limits of the insurance will be sufficient to satisfy any claims should they arise. We may not have sufficient resources to pay for any liabilities resulting from a claim excluded from or beyond the limits of, our insurance coverage. If we cannot successfully defend ourselves against a product liability claim, we may incur substantial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independent contractors, principal investigators, consultants, commercial partners and vendors may engage in misconduct or other improper activities, including non-compliance with regulatory standards and requirements and insider trading, which could significantly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exposed to the risk that employees, independent contractors, principal investigators, consultants, commercial partners and vendors may engage in fraudulent or other illegal activity, fraud or other misconduct. Misconduct by these parties could include intentional, reckless or negligent conduct or disclosure of unauthorized activities to the Company that violates: (i) the law and regulations of the FDA and non-US regulators, including those laws that require the reporting of true, complete and accurate information to the FDA and non-US regulators, (ii) healthcare fraud and abuse laws and regulations in the United States and elsewhere, and (iii)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in violation of these laws may also involve the improper use of information obtained in the course of clinical trials, which could result in regulatory sanctions and serious harm to the Company’s reputation. It is not always possible to identify and deter misconduct by the Company’s executives, employees, consultants and other third parties, and any precautions the Company takes to detect and prevent this activity may not be effective in controlling unknown or unmanaged risks or losses or in protecting the Company from governmental investigations or other actions or lawsuits stemming from a failure to comply with these laws or regulations. If any such actions are instituted against the Company, and the Company is not successful in defending itself or asserting the Company’s rights, those actions could have a significant impact on the Company’s business, including the imposition of significant civil, criminal and administrative penalties, damages, monetary fines, possible exclusion from participation in national healthcare programs, contractual damages, reputational harm, diminished profits and future earnings and curtailment of the Company’s operations, any of which could adversely affect the Company’s ability to operate the business and the Company’s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securities litigation, which is expensive and could divert management attention.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Common Shares may be volatile, and in the past companies that have experienced volatility in the market price of their shares have been subject to securities class action litigation. The Company may be the target of this type of litigation in the future. Litigation of this type could result in substantial costs and diversion of management’s attention and resources, which could adversely impact the Company’s business. Any adverse determination in litigation could also subject the Company to significant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adequately prevent disclosure of trade secrets and other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relies on trade secrets to protect the Company’s proprietary technological advances and know-how, especially where the Company does not believe patent protection is appropriate or obtainable. However, trade secrets are difficult to protect. The Company relies in part on confidentiality agreements with the Company’s consultants, contractors, outside scientific collaborators, sponsored researchers and other advisors, including the third parties the Company relies on to manufacture the Company’s product candidates, to protect the Company’s trade secrets and other proprietary information. However, any party with whom the Company has executed such an agreement may breach that agreement and disclose the Company’s proprietary information, including the Company’s trade secrets. Accordingly, these agreements may not effectively prevent disclosure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 information and may not provide an adequate remedy in the event of unauthorized disclosure of confidential information. Costly and time-consuming litigation could be necessary to enforce and determine the scope of the Company’s proprietary rights. In addition, others may independently discover the Company’s trade secrets and proprietary information. Failure to obtain or maintain trade secret protection could enable competitors to use the Company’s proprietary information to develop products that compete with the Company’s products or cause additional, material adverse effects upon the Company’s competitive business position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relating to intellectual property infringement would be costly and time consuming.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be required to initiate litigation to enforce or defend the Company’s intellectual property rights. These lawsuits can be very time consuming and costly. There is a substantial amount of litigation involving patent and other intellectual property rights in the pharmaceutical industry generally. Such litigation or proceedings could substantially increase the Company’s operating expenses and reduce the resources available for development activities or any future sales, marketing or distribution activities. </w:t>
      </w:r>
    </w:p>
    <w:p>
      <w:pPr>
        <w:pStyle w:val="TextBody"/>
        <w:bidi w:val="0"/>
        <w:spacing w:before="240" w:after="0"/>
        <w:jc w:val="left"/>
        <w:rPr>
          <w:rFonts w:ascii="Times New Roman" w:hAnsi="Times New Roman"/>
          <w:sz w:val="20"/>
        </w:rPr>
      </w:pPr>
      <w:r>
        <w:rPr>
          <w:rFonts w:ascii="Times New Roman" w:hAnsi="Times New Roman"/>
          <w:sz w:val="20"/>
        </w:rPr>
        <w:t xml:space="preserve">In infringement litigation, any award of monetary damages the Company receives may not be commercially valuable. Furthermore, because of the substantial amount of discovery required in connection with intellectual property litigation, there is a risk that some of the Company’s confidential information and trade secrets could be compromised by disclosure during litigation. Moreover, there can be no assurance that the Company will have sufficient financial or other resources to file and pursue such infringement claims, which typically last for years before they are resolved. Further, any claims the Company asserts against a perceived infringer could provoke these parties to assert counterclaims against the Company alleging that the Company has infringed their patents. Some of the Company’s competitors may be able to sustain the costs of such litigation or proceedings more effectively than the Company can because of their greater financial resources. Uncertainties resulting from the initiation and continuation of patent litigation or other proceedings could have a material adverse effect on the Company’s ability to compete in the marketplace.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Company’s patents and patent applications could face other challenges, such as interference proceedings, opposition proceedings, reissue, </w:t>
      </w:r>
      <w:r>
        <w:rPr>
          <w:rFonts w:ascii="Times New Roman" w:hAnsi="Times New Roman"/>
          <w:i/>
          <w:sz w:val="20"/>
        </w:rPr>
        <w:t xml:space="preserve">inter partes </w:t>
      </w:r>
      <w:r>
        <w:rPr>
          <w:rFonts w:ascii="Times New Roman" w:hAnsi="Times New Roman"/>
          <w:sz w:val="20"/>
        </w:rPr>
        <w:t xml:space="preserve">review, re-examination proceedings, third-party submissions of prior art, and other forms of post-grant review. Any of these challenges, if successful, could result in the invalidation of, or in a narrowing of the scope or preventing the issuance of, any of the Company’s patents and patent applications subject to challenge. Any of these challenges, regardless of their success, would likely be time consuming and expensive to defend and resolve and would divert the Company’s management and scientific personnel’s time and attention.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there could be public announcements of the results of hearings, motions or other interim proceedings or developments, and if securities analysts or investors perceive these results to be negative, it could have a material adverse effect on the market price of the Common Shares. Such litigation or proceedings could substantially increase the Company’s operating losses and reduce the resources available for development activities or any future sales, marketing or distribution activities. The Company may not have sufficient financial or other resources to adequately conduct such litigation or proceedings. </w:t>
      </w:r>
    </w:p>
    <w:p>
      <w:pPr>
        <w:pStyle w:val="TextBody"/>
        <w:bidi w:val="0"/>
        <w:spacing w:before="240" w:after="0"/>
        <w:jc w:val="left"/>
        <w:rPr>
          <w:rFonts w:ascii="Times New Roman" w:hAnsi="Times New Roman"/>
          <w:sz w:val="20"/>
        </w:rPr>
      </w:pPr>
      <w:r>
        <w:rPr>
          <w:rFonts w:ascii="Times New Roman" w:hAnsi="Times New Roman"/>
          <w:sz w:val="20"/>
        </w:rPr>
        <w:t xml:space="preserve">Even if resolved in the Company’s favour, litigation or other legal proceedings relating to intellectual property claims may cause the Company to incur significant expenses and could distract the Company’s technical and management personnel from their normal responsibilities, which could have a material adverse effect on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directors and executive officers may be affiliated with other biotech companies and may have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directors and executive officers of the Company may, from time to time, be employed by or affiliated with organizations which have entered into agreements or will enter into agreements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As disputes may arise between these organizations and the Company, or certain of these organizations may undertake or have undertaken research with the Company’s competitors, there exists the possibility for such persons to be in a position of conflict. The Company cannot assure that any decision or recommendation made by these persons involving the Company will be made in accordance with his or her duties and obligations to deal fairly and in good faith with the Company and such other organizations.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affected by macroeconomic conditions. </w:t>
      </w:r>
    </w:p>
    <w:p>
      <w:pPr>
        <w:pStyle w:val="TextBody"/>
        <w:bidi w:val="0"/>
        <w:spacing w:before="120" w:after="0"/>
        <w:jc w:val="left"/>
        <w:rPr>
          <w:rFonts w:ascii="Times New Roman" w:hAnsi="Times New Roman"/>
          <w:sz w:val="20"/>
        </w:rPr>
      </w:pPr>
      <w:r>
        <w:rPr>
          <w:rFonts w:ascii="Times New Roman" w:hAnsi="Times New Roman"/>
          <w:sz w:val="20"/>
        </w:rPr>
        <w:t xml:space="preserve">Various macroeconomic factors could adversely affect the Company’s business and the results of the Company’s operations and financial condition, including changes in inflation, interest rates and foreign currency exchange rates, and overall economic conditions and uncertainties, including those resulting from political instability and the current and future conditions in the global financial markets. For instance, if inflation or other factors were to significantly increase the Company’s business costs, it may not be feasible to pass through price increases to patients. Interest rates, the liquidity of the credit markets and the volatility of the capital markets could also affect the value of the Company’s investments and the Company’s ability to liquidate the Company’s investments in order to fund the Company’s operations, if necessary. </w:t>
      </w:r>
    </w:p>
    <w:p>
      <w:pPr>
        <w:pStyle w:val="TextBody"/>
        <w:bidi w:val="0"/>
        <w:spacing w:before="240" w:after="0"/>
        <w:jc w:val="left"/>
        <w:rPr>
          <w:rFonts w:ascii="Times New Roman" w:hAnsi="Times New Roman"/>
          <w:sz w:val="20"/>
        </w:rPr>
      </w:pPr>
      <w:r>
        <w:rPr>
          <w:rFonts w:ascii="Times New Roman" w:hAnsi="Times New Roman"/>
          <w:sz w:val="20"/>
        </w:rPr>
        <w:t xml:space="preserve">Interest rates and the ability to access credit markets could also adversely affect the ability of payors and distributors to purchase, pay for and effectively distribute the Company’s products if and when approved. Similarly, these macroeconomic factors could affect the ability of the Company’s current or potential future contract manufacturers, sole-source or single-source suppliers, or licensees to remain in business or otherwise manufacture or supply the Company’s product candidates. Failure by any of them to remain in business could affect the Company’s ability to manufacture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affected by global geopolitical risks.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risks specific to the countries in which the Company operates, global events such as war and occupation, terrorism and related geopolitical risks may lead to increased market volatility and may have adverse short-term and long-term effects on world economies and markets generally. For example, in late February 2022, Russian military forces launched significant military action against Ukraine, and conflict and disruption in the region is ongoing. This conflict has the potential to affect our clinical trial operations in Poland, Czech Republic and Denmark.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There is increased uncertainty with respect to the ongoing conflict in Ukraine and Ukraine’s current relationship with the United States. The effects of disruptive events could affect the global economy and financial and commodities markets in ways that cannot necessarily be foreseen at the present time. These events could also exacerbate other pre- existing political, social and economic risks, including those described elsewhere in this prospectus. In addition, the ongoing armed conflict in Iran and the surrounding region could adversely affect our business, results of operations, the value of our securities, and the pharmaceutical industry in general. The conflict and related regional instability may disrupt global supply chain and contribute to energy price volatility, inflationary pressures, currency fluctuations, and general market instability.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responsible for corruption and anti-bribery law violations.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Company’s business activities are subject to the to the United States </w:t>
      </w:r>
      <w:r>
        <w:rPr>
          <w:rFonts w:ascii="Times New Roman" w:hAnsi="Times New Roman"/>
          <w:i/>
          <w:sz w:val="20"/>
        </w:rPr>
        <w:t>Foreign Corrupt Practices Act</w:t>
      </w:r>
      <w:r>
        <w:rPr>
          <w:rFonts w:ascii="Times New Roman" w:hAnsi="Times New Roman"/>
          <w:sz w:val="20"/>
        </w:rPr>
        <w:t xml:space="preserve"> (the “</w:t>
      </w:r>
      <w:r>
        <w:rPr>
          <w:rFonts w:ascii="Times New Roman" w:hAnsi="Times New Roman"/>
          <w:b/>
          <w:sz w:val="20"/>
        </w:rPr>
        <w:t>FCPA</w:t>
      </w:r>
      <w:r>
        <w:rPr>
          <w:rFonts w:ascii="Times New Roman" w:hAnsi="Times New Roman"/>
          <w:sz w:val="20"/>
        </w:rPr>
        <w:t xml:space="preserve">”) and other anti-bribery and anti-corruption laws of the United States and other countries in which the Company operates, as well as U.S. and certain foreign export controls and trade sanctions which generally prohibit companies and company employees from engaging in bribery or other prohibited payments to foreign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officials for the purpose of obtaining or retaining business. The Company’s employees or other agents may, without its knowledge and despite its efforts, engage in prohibited conduct under the Company’s policies and procedures and the FCPA or other anti-bribery laws for which the Company may be held responsible. If the Company’s employees or other agents are found to have engaged in such practices, the Company could suffer severe penalties and other consequences that may have a material adverse effect on its business, financial condition and results of operations. In February 2025, President Trump issued an executive order directing the U.S. Department of Justice (“</w:t>
      </w:r>
      <w:r>
        <w:rPr>
          <w:rFonts w:ascii="Times New Roman" w:hAnsi="Times New Roman"/>
          <w:b/>
          <w:sz w:val="20"/>
        </w:rPr>
        <w:t>DOJ</w:t>
      </w:r>
      <w:r>
        <w:rPr>
          <w:rFonts w:ascii="Times New Roman" w:hAnsi="Times New Roman"/>
          <w:sz w:val="20"/>
        </w:rPr>
        <w:t xml:space="preserve">”) to pause enforcement of the FCPA and to issue new enforcement guidelines that take into consideration U.S. national security and the competitiveness of U.S. companies abroad. New guidelines were issued by DOJ in June 2025 with enforcement efforts increasingly focused on matters involving significant criminal conduct that impacts US national security and economic interests. It is unclear how this presidential directive may affect the pharmaceutical industry as a whole or the business of the Company in particular.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foreign exchange risks.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grows and does business in foreign markets, including the United States and Europe, it is quite possible that transactions will take place in foreign currencies. At this point the Company does not participate in hedging activities. Although the Company cannot predict the effect of possible foreign exchange losses in the future, if such losses occurred, they could have a material adverse effect on the Company’s business, results of operation, and financial condition. In addition, fluctuations in exchange rates could affect the pricing of the Company’s products and negatively influence customer demand.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taxation risks and changing rules by different tax authorities. </w:t>
      </w:r>
    </w:p>
    <w:p>
      <w:pPr>
        <w:pStyle w:val="TextBody"/>
        <w:bidi w:val="0"/>
        <w:spacing w:before="120" w:after="0"/>
        <w:jc w:val="left"/>
        <w:rPr>
          <w:rFonts w:ascii="Times New Roman" w:hAnsi="Times New Roman"/>
          <w:sz w:val="20"/>
        </w:rPr>
      </w:pPr>
      <w:r>
        <w:rPr>
          <w:rFonts w:ascii="Times New Roman" w:hAnsi="Times New Roman"/>
          <w:sz w:val="20"/>
        </w:rPr>
        <w:t xml:space="preserve">Tax examinations are often complex as tax authorities may disagree with the treatment of items reported by the Company, the result of which could have a material adverse effect on the Company’s financial condition and results of operations. In addition, the Company may be subject to routine tax audits by various tax authorities. Tax audits may result in additional tax, interest payments and penalties which, if levied, would negatively affect the financial condition and operating results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a current or future government of any country in which the Company operates may adopt substantially different tax policies or tax laws. Any such changes could result in higher taxes being payable by the Company, which could adversely affect the future cash flows, earnings, results of operations and/or financial condition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 number of risks and hazards and may not be sufficiently insured for all of them. </w:t>
      </w:r>
    </w:p>
    <w:p>
      <w:pPr>
        <w:pStyle w:val="TextBody"/>
        <w:bidi w:val="0"/>
        <w:spacing w:before="120" w:after="0"/>
        <w:jc w:val="left"/>
        <w:rPr>
          <w:rFonts w:ascii="Times New Roman" w:hAnsi="Times New Roman"/>
          <w:sz w:val="20"/>
        </w:rPr>
      </w:pPr>
      <w:r>
        <w:rPr>
          <w:rFonts w:ascii="Times New Roman" w:hAnsi="Times New Roman"/>
          <w:sz w:val="20"/>
        </w:rPr>
        <w:t xml:space="preserve">The Company’s business is subject to a number of general risks and hazards, including general liability. Such occurrences could result in damage to property, inventory or facilities, personal injury or death to end-customers or operators, damage to the properties of the Company or the properties of others, monetary losses and possible legal liability. Although the Company maintains insurance to protect against certain risks in such amounts as it considers to be reasonable, its insurance may not cover all the potential risks associated with its operations. The Company may also be unable to maintain insurance to cover these risks at economically feasible premiums. Insurance coverage may not continue to be available or may not be adequate to cover any resulting liability. The Company might also become subject to liability which may not be insured against or which the Company may elect not to insure against because of premium costs or other reasons. Losses from these events may cause the Company to incur significant costs that could have a material adverse effect upon the Company’s financial performance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devote significant resources to regulatory compliance as a public entity.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the Company incurs significant legal, accounting and other expenses. Legal, accounting and other expenses associated with public company reporting requirements have increased significantly in recent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years. The Company anticipates that costs may continue to increase with corporate governance related requirements, including, without limitation, requirements under National Instrument 52-109—</w:t>
      </w:r>
      <w:r>
        <w:rPr>
          <w:rFonts w:ascii="Times New Roman" w:hAnsi="Times New Roman"/>
          <w:i/>
          <w:sz w:val="20"/>
        </w:rPr>
        <w:t>Certification of Disclosure in Issuers’ Annual and Interim Filings</w:t>
      </w:r>
      <w:r>
        <w:rPr>
          <w:rFonts w:ascii="Times New Roman" w:hAnsi="Times New Roman"/>
          <w:sz w:val="20"/>
        </w:rPr>
        <w:t xml:space="preserve">, National Instrument 52-110 - </w:t>
      </w:r>
      <w:r>
        <w:rPr>
          <w:rFonts w:ascii="Times New Roman" w:hAnsi="Times New Roman"/>
          <w:i/>
          <w:sz w:val="20"/>
        </w:rPr>
        <w:t>Audit Committees</w:t>
      </w:r>
      <w:r>
        <w:rPr>
          <w:rFonts w:ascii="Times New Roman" w:hAnsi="Times New Roman"/>
          <w:sz w:val="20"/>
        </w:rPr>
        <w:t xml:space="preserve"> and National Instrument 58-101—</w:t>
      </w:r>
      <w:r>
        <w:rPr>
          <w:rFonts w:ascii="Times New Roman" w:hAnsi="Times New Roman"/>
          <w:i/>
          <w:sz w:val="20"/>
        </w:rPr>
        <w:t>Disclosure of Corporate Governance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and other personnel will devote a substantial amount of time to regulatory compliance initiatives. Moreover, these rules and regulations have increased the Company’s legal and financial compliance costs and make some activities more time-consuming and costly. For example, these rules and regulations have made it more difficult and more expensive for the Company to obtain director and officer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testing, or any subsequent testing by the Company’s independent auditor, has in the past and may in the future reveal deficiencies in the Company’s internal control over financial reporting that are deemed to be material weaknesses. The Company will incur substantial accounting expense and expend significant management efforts to comply with internal control over financial reporting requirements. The Company currently does not have an internal audit group, and the Company anticipates hiring additional accounting and financial staff with appropriate public company experience and technical accounting knowledge. Moreover, if the Company is not able to comply with these requirements in a timely manner or if the Company or the Company’s independent auditor identifies deficiencies in the Company’s internal control over financial reporting that are deemed to be material weaknesses, the market price of the Common Shares could decline, and the Company could be subject to sanctions or investigations by applicable securities regulatory authorities,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develop and maintain effective disclosure controls and procedures and internal control over financial reporting, we may not be able to accurately report our financial results in a timely manner, which may adversely affect investor confidence in us and may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material weakness is a deficiency, or a combination of deficiencies, in disclosure controls and procedures and internal control over financial reporting, such that there is a reasonable possibility that a material misstatement of our annual or interim financial statements will not be prevented or detected on a timely basis. Effective disclosure controls and procedures and internal control over financial reporting is necessary for us to provide reliable financial reporting and prevent fraud. Specifically, there was insufficient review of the classification of liabilities and equity under IAS 32 and the valuation of instruments in accordance with IFRS 13. Although we have remediated this material weakness, we may identify additional material weaknesses in the future. </w:t>
      </w:r>
    </w:p>
    <w:p>
      <w:pPr>
        <w:pStyle w:val="TextBody"/>
        <w:bidi w:val="0"/>
        <w:spacing w:before="240" w:after="0"/>
        <w:jc w:val="left"/>
        <w:rPr>
          <w:rFonts w:ascii="Times New Roman" w:hAnsi="Times New Roman"/>
          <w:sz w:val="20"/>
        </w:rPr>
      </w:pPr>
      <w:r>
        <w:rPr>
          <w:rFonts w:ascii="Times New Roman" w:hAnsi="Times New Roman"/>
          <w:sz w:val="20"/>
        </w:rPr>
        <w:t>As a Nasdaq-listed reporting issuer in the United States, we are required to comply with the requirements of the U.S. Exchange Act, Sarbanes-Oxley Act of 2002, as amended (the “</w:t>
      </w:r>
      <w:r>
        <w:rPr>
          <w:rFonts w:ascii="Times New Roman" w:hAnsi="Times New Roman"/>
          <w:b/>
          <w:sz w:val="20"/>
        </w:rPr>
        <w:t>Sarbanes-Oxley Act</w:t>
      </w:r>
      <w:r>
        <w:rPr>
          <w:rFonts w:ascii="Times New Roman" w:hAnsi="Times New Roman"/>
          <w:sz w:val="20"/>
        </w:rPr>
        <w:t xml:space="preserve">”), and the listing standards of Nasdaq, including,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U.S. Exchange Act is accumulated and communicated to our management, including our principal executive and financial officers. </w:t>
      </w:r>
    </w:p>
    <w:p>
      <w:pPr>
        <w:pStyle w:val="TextBody"/>
        <w:bidi w:val="0"/>
        <w:spacing w:before="240" w:after="0"/>
        <w:jc w:val="left"/>
        <w:rPr>
          <w:rFonts w:ascii="Times New Roman" w:hAnsi="Times New Roman"/>
          <w:sz w:val="20"/>
        </w:rPr>
      </w:pPr>
      <w:r>
        <w:rPr>
          <w:rFonts w:ascii="Times New Roman" w:hAnsi="Times New Roman"/>
          <w:sz w:val="20"/>
        </w:rPr>
        <w:t xml:space="preserve">We are also continuing to improve our internal control over financial reporting. Pursuant to the SEC rules that implement Section 404 of the Sarbanes-Oxley Act, beginning with our second annual report on Form 40-F after becoming subject to the reporting requirements of the U.S. Exchange Act, we are required to make a formal assessment of the effectiveness of our internal control over financial reporting. To achieve compliance with this requirement within the prescribed time period, we are engaged in a process to document and evaluate our internal control over financial reporting under such rules, which is both costly and challenging. In this regard, we will need to continue to dedicate internal resources, potentially engage outside consultants and adopt a detailed 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plan to assess and document the adequacy of our internal control over financial reporting, validate through testing that controls are functioning as documented and implement a continuous reporting and improvement process for internal control over financial reporting. Despite our efforts,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has in the past and may in the future reveal deficiencies in our internal control over financial reporting that are deemed to be material weaknesses.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implement and maintain effective disclosure controls and procedures and internal control over financial reporting, including the identification of one or more material weaknesses, could adversely impact our ability to report our financial condition and results of operations on a timely and accurate basis and could cause investors to lose confidence in the accuracy and completeness of our financial statements and reports, which would likely adversely affect the market price of our Common Shares. In addition, we could be subject to sanctions or investigations by Nasdaq, the SEC and other regulatory authorities. We also face potential for litigation or other disputes which may include, among others, claims invoking the securities laws, contractual claims or other claims arising from the restatement and the material weakness in our disclosure controls and procedures and internal control over financial reporting and the preparation of our financial statements. As of the date of this prospectus, we have no knowledge of any such litigation or dispute. However, we can provide no assurance that such litigation or dispute will not arise in the future. Any such litigation or dispute, whether successful or not, could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Marketing, Reimbursement, Healthcare Regulations and Ongoing Regulatory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Coverage and reimbursement may be limited or unavailable in certain market segments for our product candidates, if approved, which could make it difficult for us to sell any product candidates or therapies, if approved, profitably.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product candidates, if approved, depends on the availability of adequate coverage and reimbursement from third-party payors, including government agencies. There is significant uncertainty related to the insurance coverage and reimbursement of newly approved products. Coverage may be more limited than the purposes for which a therapeutic is approved by the FDA or comparable regulatory authorities in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and some other jurisdictions, patients who are provided medical treatment for their conditions generally rely on third-party payors to reimburse all or part of the costs associated with their treatment. Adequate coverage and reimbursement from governmental healthcare programs, such as Medicare and Medicaid in the United States, and commercial payors are critical to new product acceptance. </w:t>
      </w:r>
    </w:p>
    <w:p>
      <w:pPr>
        <w:pStyle w:val="TextBody"/>
        <w:bidi w:val="0"/>
        <w:spacing w:before="240" w:after="0"/>
        <w:jc w:val="left"/>
        <w:rPr>
          <w:rFonts w:ascii="Times New Roman" w:hAnsi="Times New Roman"/>
          <w:sz w:val="20"/>
        </w:rPr>
      </w:pPr>
      <w:r>
        <w:rPr>
          <w:rFonts w:ascii="Times New Roman" w:hAnsi="Times New Roman"/>
          <w:sz w:val="20"/>
        </w:rPr>
        <w:t>Government authorities and other third-party payors, such as private health insurers and health maintenance organizations, decide which drugs and treatments they will cover and the amount of reimbursement. In the United States, the principal decisions about reimbursement for new medicines are typically made by the Centers for Medicare &amp; Medicaid Services (“</w:t>
      </w:r>
      <w:r>
        <w:rPr>
          <w:rFonts w:ascii="Times New Roman" w:hAnsi="Times New Roman"/>
          <w:b/>
          <w:sz w:val="20"/>
        </w:rPr>
        <w:t>CMS</w:t>
      </w:r>
      <w:r>
        <w:rPr>
          <w:rFonts w:ascii="Times New Roman" w:hAnsi="Times New Roman"/>
          <w:sz w:val="20"/>
        </w:rPr>
        <w:t>”) an agency within the U.S. Department of Health and Human Services (“</w:t>
      </w:r>
      <w:r>
        <w:rPr>
          <w:rFonts w:ascii="Times New Roman" w:hAnsi="Times New Roman"/>
          <w:b/>
          <w:sz w:val="20"/>
        </w:rPr>
        <w:t>HHS</w:t>
      </w:r>
      <w:r>
        <w:rPr>
          <w:rFonts w:ascii="Times New Roman" w:hAnsi="Times New Roman"/>
          <w:sz w:val="20"/>
        </w:rPr>
        <w:t xml:space="preserve">”). CMS decides whether and to what extent a new medicine will be covered and reimbursed under Medicare, and private payors often follow CMS’ coverage decisions. Other jurisdictions have agencies, such as the National Institute for Health and Care Excellence in the UK and Canada’s Drug Agency in Canada, that evaluate the use and cost-effectiveness of therapies, which impact the utilization and price of the medicine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maintain pricing sufficient to achieve or sustain profitability or may require co-payments that patients find unacceptably high. </w:t>
      </w:r>
    </w:p>
    <w:p>
      <w:pPr>
        <w:pStyle w:val="TextBody"/>
        <w:bidi w:val="0"/>
        <w:spacing w:before="240" w:after="0"/>
        <w:jc w:val="left"/>
        <w:rPr>
          <w:rFonts w:ascii="Times New Roman" w:hAnsi="Times New Roman"/>
          <w:sz w:val="20"/>
        </w:rPr>
      </w:pPr>
      <w:r>
        <w:rPr>
          <w:rFonts w:ascii="Times New Roman" w:hAnsi="Times New Roman"/>
          <w:sz w:val="20"/>
        </w:rPr>
        <w:t xml:space="preserve">We intend to seek approval to market our product candidates in different jurisdictions, which could include the United States, Canada and other selected foreign jurisdictions. If we obtain approval in any of these jurisdictions for our product candidates, we will be subject to rules and regulations in those jurisdictions. Market acceptance and sales will depend significantly on the availability of adequate coverage and reimbursement from third-party payors for our product candidates, if approved. In the U.S. and some foreign jurisdictions, there have been a number of legislative and regulatory changes and proposed changes regarding the healthcare system that could, among other things, restrict or regulate post-approval activities and affect our ability to profitably sell or commercialize any product candidate for which we, or our collaborators, obtain marketing approval. We expect that current laws, as well as other healthcare reform measures that may be adopted in the future, may result in more rigorous coverage criteria and in additional downward pressure on the price that we, or any collaborators, may receive for any product candidate for which we receive marketing approval. If reimbursement is unavailable or limited in scope, our business could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physicians and third-party payors in the United States, Canada, and elsewhere play a primary role in the recommendation and prescription of any product candidates for which we obtain marketing approval. If we obtain FDA approval for any of our product candidates and begin commercializing those products in the United States,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U.S. federal, state and other healthcare laws and regulations laws that may affect our ability to operate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renumeration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False Claims Act (“</w:t>
            </w:r>
            <w:r>
              <w:rPr>
                <w:rFonts w:ascii="Times New Roman" w:hAnsi="Times New Roman"/>
                <w:b/>
                <w:sz w:val="20"/>
              </w:rPr>
              <w:t>FCA</w:t>
            </w:r>
            <w:r>
              <w:rPr>
                <w:rFonts w:ascii="Times New Roman" w:hAnsi="Times New Roman"/>
                <w:sz w:val="20"/>
              </w:rPr>
              <w:t xml:space="preserve">”). The Anti-Kickback Statute has been interpreted to apply to arrangements between pharmaceutical manufacturers on the one hand and prescribers, purchasers, and formulary managers, among others, 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There are a number of statutory exceptions and regulatory safe harbors protecting some common activities from prosecution;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 When an entity is determined to have violated the FCA, the government may impose civil fines and penalties for each false claim, plus treble damages, and exclude the entity from participation in Medicare, Medicaid and other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HITECH, and their respective implementing regulations, which impose, among other things, certain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create, receive, maintain, transmit or obtain protected health information in connection with providing a service on behalf of a covered entity. HITECH also created new tiers of civil monetary penalties, amended HIPAA to make civil and criminal penalties directly applicable to business associates and their covered subcontractors, and gave state attorneys general new authority to file civil actions for damages or injunctions in federal courts to enforce the federal HIPAA laws and seek attorneys’ fees and costs associated with pursuing federal civil actions. In addition, there are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federal Physician Payments Sunshine Act, created under the Patient Protection and Affordable Care Act, as amended by the Health Care and Education Reconciliation Act of 2010 (collectively, the “</w:t>
            </w:r>
            <w:r>
              <w:rPr>
                <w:rFonts w:ascii="Times New Roman" w:hAnsi="Times New Roman"/>
                <w:b/>
                <w:sz w:val="20"/>
              </w:rPr>
              <w:t>ACA</w:t>
            </w:r>
            <w:r>
              <w:rPr>
                <w:rFonts w:ascii="Times New Roman" w:hAnsi="Times New Roman"/>
                <w:sz w:val="20"/>
              </w:rPr>
              <w:t xml:space="preserve">”),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chiropractors, physician assistants, nurse practitioners, clinical nurse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specialists, certified nurse anesthetists, and certified nurse- midwives), certain non-physician providers such as physician assistants and nurse practitioners, and teaching hospitals, as well as ownership and investment interests held by the physicians and their immediate family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price reporting laws, which require manufacturers to calculate and report complex pricing metrics to government programs, where such reported prices may be used in the calculation of reimbursement and/or discounts on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consumer protection and unfair competition laws, which broadly regulate marketplace activities and activities that potentially harm consumers;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pharmaceutical companies to comply with the pharmaceutical industry’s voluntary compliance guidelines and other relevant compliance guidance promulgated by the federal government or otherwise restrict payments that may be made to healthcare providers and other potential referral sources, including the April 2003 Office of Inspector General Compliance Program Guidance for Pharmaceutical Manufacturers and/or the Pharmaceutical Research and Manufacturers of America’s Code on Interactions with Healthcare Professionals; state and foreign laws that require drug manufacturers to report information related to payments and other transfers of value to physicians and other healthcare providers, marketing expenditures or drug pricing; state and local laws that require the registration of pharmaceutical sales representatives; and state and foreign laws governing the privacy and security of health information, some of which may be more stringent than those in the United States (such as the European Union, which adopted the General Data Protection Regulation, which became effective in May 2018) in certain circumstances, and may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scope and enforcement of each of the aforementioned laws are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costly, and can divert a company’s attention from the business.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governmental and enforcement authorities will conclude that our business practices, including our arrangements with physicians and other healthcare providers,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a pharmaceutical manufacturer to incur significant legal expenses and divert management’s attention from the operation of the business. In addition, the approval and commercialization of any product candidate in other countries will also likely subject us to foreign equivalents of the healthcare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mentioned above, among other foreign laws. All of these could harm our ability to operate our business and our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research and development activities could be affected or delayed as a result of possible restrictions on animal testing. </w:t>
      </w:r>
    </w:p>
    <w:p>
      <w:pPr>
        <w:pStyle w:val="TextBody"/>
        <w:bidi w:val="0"/>
        <w:spacing w:before="120" w:after="0"/>
        <w:jc w:val="left"/>
        <w:rPr>
          <w:rFonts w:ascii="Times New Roman" w:hAnsi="Times New Roman"/>
          <w:sz w:val="20"/>
        </w:rPr>
      </w:pPr>
      <w:r>
        <w:rPr>
          <w:rFonts w:ascii="Times New Roman" w:hAnsi="Times New Roman"/>
          <w:sz w:val="20"/>
        </w:rPr>
        <w:t xml:space="preserve">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Ongoing healthcare legislative and regulatory reform measures may have a material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many foreign jurisdictions have enacted or proposed legislative and regulatory changes affecting the healthcare system, including implementing cost-containment programs to limit the growth of government-paid healthcare costs, including price controls, restrictions on reimbursement and requirements for substitution of generic products for branded prescription drugs. </w:t>
      </w:r>
    </w:p>
    <w:p>
      <w:pPr>
        <w:pStyle w:val="TextBody"/>
        <w:bidi w:val="0"/>
        <w:spacing w:before="240" w:after="0"/>
        <w:jc w:val="left"/>
        <w:rPr>
          <w:rFonts w:ascii="Times New Roman" w:hAnsi="Times New Roman"/>
          <w:sz w:val="20"/>
        </w:rPr>
      </w:pPr>
      <w:r>
        <w:rPr>
          <w:rFonts w:ascii="Times New Roman" w:hAnsi="Times New Roman"/>
          <w:sz w:val="20"/>
        </w:rPr>
        <w:t>In the United States, The Patient Protection and Affordable Care Act, as amended by the Health Care and Education Reconciliation Act of 2010, (the “</w:t>
      </w:r>
      <w:r>
        <w:rPr>
          <w:rFonts w:ascii="Times New Roman" w:hAnsi="Times New Roman"/>
          <w:b/>
          <w:sz w:val="20"/>
        </w:rPr>
        <w:t>Affordable Care Act</w:t>
      </w:r>
      <w:r>
        <w:rPr>
          <w:rFonts w:ascii="Times New Roman" w:hAnsi="Times New Roman"/>
          <w:sz w:val="20"/>
        </w:rPr>
        <w:t xml:space="preserve">”), substantially regulates the way healthcare is financed by both governmental and private insurers in the United States. 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judicial, administrative, executive and legislative efforts to modify or eliminate the Affordable Care Act. </w:t>
      </w:r>
    </w:p>
    <w:p>
      <w:pPr>
        <w:pStyle w:val="TextBody"/>
        <w:bidi w:val="0"/>
        <w:spacing w:before="240" w:after="0"/>
        <w:jc w:val="left"/>
        <w:rPr>
          <w:rFonts w:ascii="Times New Roman" w:hAnsi="Times New Roman"/>
          <w:sz w:val="20"/>
        </w:rPr>
      </w:pPr>
      <w:r>
        <w:rPr>
          <w:rFonts w:ascii="Times New Roman" w:hAnsi="Times New Roman"/>
          <w:sz w:val="20"/>
        </w:rPr>
        <w:t xml:space="preserve">Changes to and under the Affordable Care Act remain possible but it is unknown what form any such changes or any law proposed to replace or revise the Affordable Care Act would take, and how or whether it may affect our business in the future. 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 We also expect that the Affordable Care Act, as well as other healthcare reform measures that have and may be adopted in the future, may result in more rigorous coverage criteria and in additional downward pressure on the price that we receive for our product candidates, if approved. Any reduction in reimbursement from Medicare, Medicaid, or other government programs may result in a similar reduction in payments from private payers. Other legislative changes have been proposed and adopted in the United States since the ACA was enacted. For example, the American Rescue Plan Act of 2021 eliminated the statutory Medicaid drug rebate cap manufacturers pay to state Medicaid programs, elimination of this cap may require pharmaceutical manufacturers to pay more in rebates than it receives on the sale of products, which could have a material impact on our business. Moreover, payment methodologies may be subject to changes in healthcare legislation and regulatory initiatives. For example, the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August 2022, Congress passed the Inflation Reduction Act of 2022, or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first cycle of negotiations for the Medicare Drug Price Negotiation Program commenced in the summer of 2023. On August 15, 2024, the HHS published the negotiated maximum fair prices for ten selected Part D drugs that treat a range of conditions, including diabetes, chronic kidney disease, and rheumatoid arthritis. The prices of these ten drugs became effective on January 1, 2026. On January 17, 2025, CMS announced its selection of 15 additional Part D drugs for the second cycle of negotiations. The negotiated prices for this second group will be effective on January 1, 2027. While there had been some questions about the Trump Administration’s position on this program, on September 30, 2025, CMS issued final guidance for the third negotiation cycle. On January 27, 2026, CMS announced its selection of 15 additional drugs (covered under either Part B or Part D) for the third cycle of negotiations. The negotiated prices for this third group will be effective on January 1, 2028. CMS also selected one previously negotiated drug for the program’s first renegotiations. Various industry stakeholders, including certain pharmaceutical companies and the Pharmaceutical Research and Manufacturers of America, have initiated lawsuits against the federal government asserting that the price negotiation provisions of the IRA are unconstitutional. The impact of these judicial challenges,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240" w:after="0"/>
        <w:jc w:val="left"/>
        <w:rPr>
          <w:rFonts w:ascii="Times New Roman" w:hAnsi="Times New Roman"/>
          <w:sz w:val="20"/>
        </w:rPr>
      </w:pPr>
      <w:r>
        <w:rPr>
          <w:rFonts w:ascii="Times New Roman" w:hAnsi="Times New Roman"/>
          <w:sz w:val="20"/>
        </w:rPr>
        <w:t xml:space="preserve">In May 2025, President Trump issued an executive order implementing the concept of most-favored nation pricing. Under this order, the Department of Health and Human Services, in coordination with other federal agencies, is directed to take actions to ensure that the price of prescription drugs paid by federal health insurers, including Medicare and Medicaid, is in line with the prices paid in comparably developed nations. </w:t>
      </w:r>
    </w:p>
    <w:p>
      <w:pPr>
        <w:pStyle w:val="TextBody"/>
        <w:bidi w:val="0"/>
        <w:spacing w:before="240" w:after="0"/>
        <w:jc w:val="left"/>
        <w:rPr>
          <w:rFonts w:ascii="Times New Roman" w:hAnsi="Times New Roman"/>
          <w:sz w:val="20"/>
        </w:rPr>
      </w:pPr>
      <w:r>
        <w:rPr>
          <w:rFonts w:ascii="Times New Roman" w:hAnsi="Times New Roman"/>
          <w:sz w:val="20"/>
        </w:rPr>
        <w:t xml:space="preserve">As an alternative to the Affordable Care Act, President Trump recently announced the Great Healthcare Plan. As presented, the plan is intended to lower drug prices by increasing competition and benchmarking U.S. drug prices to other countries, reduce insurance premiums by redirecting subsidies from insurers to individuals, increase accountability and transparency from insurers, and promote consumer choice by giving individuals more direct control over how healthcare dollars are spent. Legislative and regulatory action will be required to fully implement the plan. It is unclear how these proposed changes will impact our business and the pharmaceutical industry in general. </w:t>
      </w:r>
    </w:p>
    <w:p>
      <w:pPr>
        <w:pStyle w:val="TextBody"/>
        <w:bidi w:val="0"/>
        <w:spacing w:before="240" w:after="0"/>
        <w:jc w:val="left"/>
        <w:rPr>
          <w:rFonts w:ascii="Times New Roman" w:hAnsi="Times New Roman"/>
          <w:sz w:val="20"/>
        </w:rPr>
      </w:pPr>
      <w:r>
        <w:rPr>
          <w:rFonts w:ascii="Times New Roman" w:hAnsi="Times New Roman"/>
          <w:sz w:val="20"/>
        </w:rPr>
        <w:t xml:space="preserve">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our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the Common Shares may be volatile and subject to wide fluctuations in response to numerous factors, many of which are beyond our control.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Common Shares may fluctuate due to a variety of factors relative to our business,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new products, product candidates or new uses for existing products, significant contracts, commercial relationships or capital commitments and the timing of these introductions or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any of our collaborators regarding our product candidates they are developing, including announcements regarding clinical or regulatory decisions or developments of our collaboration;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serious safety concerns related to the use of any of our product candidates and any products for which we receive marketing authorization;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or inconclusive results from preclinical testing or clinical trials of our product candidates, leading to a decision or requirement to conduct additional preclinical testing or clinical trials or resulting in a decision to terminate the continued development of a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of clinical trials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obtain or delays in obtaining or maintaining product approvals or clearances from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regulatory or reimbursement announcements;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acquisitions, strategic collaborations, licenses,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our efforts to discover or develop additional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including our collaborators, CROs, clinical trial sponsors and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Canada, the United States or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expenses related to any of our product candidates or clinical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quarterly variations in our financial results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Common Shares by us, our insiders or our shareholders in the future, as well as the overall trading volume of the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or our involvement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industry and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other factors described in the section “</w:t>
            </w:r>
            <w:r>
              <w:rPr>
                <w:rFonts w:ascii="Times New Roman" w:hAnsi="Times New Roman"/>
                <w:i/>
                <w:sz w:val="20"/>
              </w:rPr>
              <w:t>Risk Factors</w:t>
            </w:r>
            <w:r>
              <w:rPr>
                <w:rFonts w:ascii="Times New Roman" w:hAnsi="Times New Roman"/>
                <w:sz w:val="20"/>
              </w:rPr>
              <w:t xml:space="preserve">” of our Annual Information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effect of these and other factors on the market price of the Common Shares on the TSX, Nasdaq, or any other exchange that we list securities on in the future, cannot be predicted. There can be no assurance that the market price of the Common Shares will not experience significant fluctuations in the future, including fluctuations that are unrelated to our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may lose their entire investment. </w:t>
      </w:r>
    </w:p>
    <w:p>
      <w:pPr>
        <w:pStyle w:val="TextBody"/>
        <w:bidi w:val="0"/>
        <w:spacing w:before="120" w:after="0"/>
        <w:jc w:val="left"/>
        <w:rPr>
          <w:rFonts w:ascii="Times New Roman" w:hAnsi="Times New Roman"/>
          <w:sz w:val="20"/>
        </w:rPr>
      </w:pPr>
      <w:r>
        <w:rPr>
          <w:rFonts w:ascii="Times New Roman" w:hAnsi="Times New Roman"/>
          <w:sz w:val="20"/>
        </w:rPr>
        <w:t xml:space="preserve">An investment in the Common Shares is speculative and may result in the loss of an investor’s entire investment in the Company. Only investors who are experienced in high-risk investments and who can afford to lose their entire investment should consider an investment in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no history of dividends. </w:t>
      </w:r>
    </w:p>
    <w:p>
      <w:pPr>
        <w:pStyle w:val="TextBody"/>
        <w:bidi w:val="0"/>
        <w:spacing w:before="120" w:after="0"/>
        <w:jc w:val="left"/>
        <w:rPr>
          <w:rFonts w:ascii="Times New Roman" w:hAnsi="Times New Roman"/>
          <w:sz w:val="20"/>
        </w:rPr>
      </w:pPr>
      <w:r>
        <w:rPr>
          <w:rFonts w:ascii="Times New Roman" w:hAnsi="Times New Roman"/>
          <w:sz w:val="20"/>
        </w:rPr>
        <w:t xml:space="preserve">To date, the Company has not paid any dividends on the outstanding Common Shares. We currently intend to retain future earnings to finance the operation, development and expansion of our business. We do not anticipate paying cash dividends on the Common Shares in the foreseeable future. Any decision to pay dividends on its shares will be made at the discretion of the Board and will depend on the Company’s earnings, financial requirements and other conditions existing at such time, including potential restrictions on paying dividends pursuant to any effective credit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existing executive officers and directors own a significant percentage of Common Shares and may have a significant impact over matters submitted to the Company’s shareholders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current executive officers and directors own approximately 10.04% of the issued Common Shares as of March 31, 2026. As a result, these shareholders, if they acted together, could significantly impact all matters requiring approval by the Company’s shareholders, including the election of directors and the approval of mergers or other business combination transactions. The interests of these shareholders may not always coincide with the Company’s interests or the interests of other shareholders. This may also prevent or discourage unsolicited acquisition proposals or offers for the Common Shares that other shareholders may feel are in their best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Common Shares by our existing shareholders could cause the Company’s share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securities laws, the Company’s officers, directors and significant shareholders may sell some or all of their Common Shares in the future. No prediction can be made as to the effect, if any, such future sales of Common Shares will have on the market price of the Common Shares prevailing from time to time. However, the future sale of a substantial number of Common Shares by the Company’s officers, directors and significant shareholders or the perception that such sales could occur, could adversely affect prevailing market prices for the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need to raise additional financing in the future which may dilute our share capital. </w:t>
      </w:r>
    </w:p>
    <w:p>
      <w:pPr>
        <w:pStyle w:val="TextBody"/>
        <w:bidi w:val="0"/>
        <w:spacing w:before="120" w:after="0"/>
        <w:jc w:val="left"/>
        <w:rPr>
          <w:rFonts w:ascii="Times New Roman" w:hAnsi="Times New Roman"/>
          <w:sz w:val="20"/>
        </w:rPr>
      </w:pPr>
      <w:r>
        <w:rPr>
          <w:rFonts w:ascii="Times New Roman" w:hAnsi="Times New Roman"/>
          <w:sz w:val="20"/>
        </w:rPr>
        <w:t xml:space="preserve">The Company’s Articles permit the issuance of an unlimited number of Common Shares. Future issuances of Common Shares will result in dilution to the existing shareholders. Additionally, future sales of the Common Shares into the public market may lower the market price that may result in losses to the Company’s shareholders. The Company may, from time to time, issue stock options to purchase additional Common Shares in accordance with the policies of the TSX and Nasdaq. Most of these Common Shares, including the Common Shares to be issued upon exercise of options, are freely tradable or will be freely tradeable after a four-month restriction period. Sales of substantial amounts of the Common Shares into the public market, or even the perception by the market that such sales may occur, may lower the market price of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either do not publish research about us or publish inaccurate or unfavorable research about us, our business or our market, or if they adversely change their recommendations regarding our Common Shares, the trading price or trading volume of our Common Shares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Common Shares will be influenced in part by the research and reports that securities or industry analysts may publish about us, our business, our market or our competitors. If one or more securities analysts initiate research with an unfavorable rating or downgrade our Common Shares, provide a more favorable recommendation about our competitors or publish inaccurate or unfavorable research about our business, our Common Shares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Common Shares to decline. </w:t>
      </w:r>
    </w:p>
    <w:p>
      <w:pPr>
        <w:pStyle w:val="TextBody"/>
        <w:bidi w:val="0"/>
        <w:spacing w:before="480" w:after="0"/>
        <w:jc w:val="center"/>
        <w:rPr>
          <w:rFonts w:ascii="Times New Roman" w:hAnsi="Times New Roman"/>
          <w:b/>
          <w:sz w:val="20"/>
        </w:rPr>
      </w:pPr>
      <w:bookmarkStart w:id="11" w:name="toc142683_6"/>
      <w:bookmarkEnd w:id="1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to the Company from any offering of Securities and the proposed use of those proceeds will be set forth in the applicable prospectus supplement relating to that offering of Securities. The Company will not receive any proceeds from any sale of any Securities by selling securityholders. </w:t>
      </w:r>
    </w:p>
    <w:p>
      <w:pPr>
        <w:pStyle w:val="TextBody"/>
        <w:bidi w:val="0"/>
        <w:spacing w:before="240" w:after="0"/>
        <w:jc w:val="left"/>
        <w:rPr>
          <w:rFonts w:ascii="Times New Roman" w:hAnsi="Times New Roman"/>
          <w:sz w:val="20"/>
        </w:rPr>
      </w:pPr>
      <w:r>
        <w:rPr>
          <w:rFonts w:ascii="Times New Roman" w:hAnsi="Times New Roman"/>
          <w:sz w:val="20"/>
        </w:rPr>
        <w:t>By the nature of its business as a clinical-stage pharmaceutical company, the Company had negative operating cash flow for its most recent interim financial period and financial year. To the extent the Company has negative cashflows in future periods, the Company may use a portion of its general working capital to fund such negative cash flow. See “</w:t>
      </w:r>
      <w:r>
        <w:rPr>
          <w:rFonts w:ascii="Times New Roman" w:hAnsi="Times New Roman"/>
          <w:i/>
          <w:sz w:val="20"/>
        </w:rPr>
        <w:t>Risk Factors</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12" w:name="toc142683_7"/>
      <w:bookmarkEnd w:id="12"/>
      <w:r>
        <w:rPr>
          <w:rFonts w:ascii="Times New Roman" w:hAnsi="Times New Roman"/>
          <w:b/>
          <w:sz w:val="20"/>
        </w:rPr>
        <w:t xml:space="preserve">CONSOLIDATED 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Since March 31, 2026, the date of our unaudited interim condensed consolidated financial statements for the three months ended March 31, 2026, there have been no material changes in our consolidated share or debt capital. </w:t>
      </w:r>
    </w:p>
    <w:p>
      <w:pPr>
        <w:pStyle w:val="TextBody"/>
        <w:bidi w:val="0"/>
        <w:spacing w:before="480" w:after="0"/>
        <w:jc w:val="center"/>
        <w:rPr>
          <w:rFonts w:ascii="Times New Roman" w:hAnsi="Times New Roman"/>
          <w:b/>
          <w:sz w:val="20"/>
        </w:rPr>
      </w:pPr>
      <w:bookmarkStart w:id="13" w:name="toc142683_8"/>
      <w:bookmarkEnd w:id="13"/>
      <w:r>
        <w:rPr>
          <w:rFonts w:ascii="Times New Roman" w:hAnsi="Times New Roman"/>
          <w:b/>
          <w:sz w:val="20"/>
        </w:rPr>
        <w:t xml:space="preserve">PRIOR SALES </w:t>
      </w:r>
    </w:p>
    <w:p>
      <w:pPr>
        <w:pStyle w:val="TextBody"/>
        <w:bidi w:val="0"/>
        <w:spacing w:before="240" w:after="0"/>
        <w:jc w:val="left"/>
        <w:rPr>
          <w:rFonts w:ascii="Times New Roman" w:hAnsi="Times New Roman"/>
          <w:sz w:val="20"/>
        </w:rPr>
      </w:pPr>
      <w:r>
        <w:rPr>
          <w:rFonts w:ascii="Times New Roman" w:hAnsi="Times New Roman"/>
          <w:sz w:val="20"/>
        </w:rPr>
        <w:t xml:space="preserve">Information regarding our Common Shares that we issued within the previous twelve-month period, including Common Shares that we issued upon the exercise of stock options or the settlement of performance share units granted under our equity incentive plans, will be provided as required in a prospectus supplement with respect to the issuance of Securities pursuant to such prospectus supplement. </w:t>
      </w:r>
    </w:p>
    <w:p>
      <w:pPr>
        <w:pStyle w:val="TextBody"/>
        <w:bidi w:val="0"/>
        <w:spacing w:before="480" w:after="0"/>
        <w:jc w:val="center"/>
        <w:rPr>
          <w:rFonts w:ascii="Times New Roman" w:hAnsi="Times New Roman"/>
          <w:b/>
          <w:sz w:val="20"/>
        </w:rPr>
      </w:pPr>
      <w:bookmarkStart w:id="14" w:name="toc142683_9"/>
      <w:bookmarkEnd w:id="14"/>
      <w:r>
        <w:rPr>
          <w:rFonts w:ascii="Times New Roman" w:hAnsi="Times New Roman"/>
          <w:b/>
          <w:sz w:val="20"/>
        </w:rPr>
        <w:t xml:space="preserve">TRADING PRICE AND VOLUME </w:t>
      </w:r>
    </w:p>
    <w:p>
      <w:pPr>
        <w:pStyle w:val="TextBody"/>
        <w:bidi w:val="0"/>
        <w:spacing w:before="240" w:after="0"/>
        <w:jc w:val="left"/>
        <w:rPr>
          <w:rFonts w:ascii="Times New Roman" w:hAnsi="Times New Roman"/>
          <w:sz w:val="20"/>
        </w:rPr>
      </w:pPr>
      <w:r>
        <w:rPr>
          <w:rFonts w:ascii="Times New Roman" w:hAnsi="Times New Roman"/>
          <w:sz w:val="20"/>
        </w:rPr>
        <w:t xml:space="preserve">The Common Shares are listed and posted for trading on the TSX and Nasdaq under the symbol “EPRX”. Trading price and volume information for the Company’s Securities listed on the TSX and Nasdaq will be provided as required in each prospectus supplement to this prospectus. </w:t>
      </w:r>
    </w:p>
    <w:p>
      <w:pPr>
        <w:pStyle w:val="TextBody"/>
        <w:bidi w:val="0"/>
        <w:spacing w:before="480" w:after="0"/>
        <w:jc w:val="center"/>
        <w:rPr>
          <w:rFonts w:ascii="Times New Roman" w:hAnsi="Times New Roman"/>
          <w:b/>
          <w:sz w:val="20"/>
        </w:rPr>
      </w:pPr>
      <w:bookmarkStart w:id="15" w:name="toc142683_10"/>
      <w:bookmarkEnd w:id="15"/>
      <w:r>
        <w:rPr>
          <w:rFonts w:ascii="Times New Roman" w:hAnsi="Times New Roman"/>
          <w:b/>
          <w:sz w:val="20"/>
        </w:rPr>
        <w:t xml:space="preserve">EARNINGS COVERAGE </w:t>
      </w:r>
    </w:p>
    <w:p>
      <w:pPr>
        <w:pStyle w:val="TextBody"/>
        <w:bidi w:val="0"/>
        <w:spacing w:before="240" w:after="0"/>
        <w:jc w:val="left"/>
        <w:rPr>
          <w:rFonts w:ascii="Times New Roman" w:hAnsi="Times New Roman"/>
          <w:sz w:val="20"/>
        </w:rPr>
      </w:pPr>
      <w:r>
        <w:rPr>
          <w:rFonts w:ascii="Times New Roman" w:hAnsi="Times New Roman"/>
          <w:sz w:val="20"/>
        </w:rPr>
        <w:t xml:space="preserve">If we offer debt securities having a term to maturity in excess of one year under this prospectus and any applicable prospectus supplement, the applicable prospectus supplement will include earnings coverage ratios giving effect to the issuance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42683_11"/>
      <w:bookmarkEnd w:id="16"/>
      <w:r>
        <w:rPr>
          <w:rFonts w:ascii="Times New Roman" w:hAnsi="Times New Roman"/>
          <w:b/>
          <w:sz w:val="20"/>
        </w:rPr>
        <w:t xml:space="preserve">DESCRIPTION OF SHARE CAPITAL </w:t>
      </w:r>
    </w:p>
    <w:p>
      <w:pPr>
        <w:pStyle w:val="TextBody"/>
        <w:bidi w:val="0"/>
        <w:spacing w:before="240" w:after="0"/>
        <w:jc w:val="left"/>
        <w:rPr>
          <w:rFonts w:ascii="Times New Roman" w:hAnsi="Times New Roman"/>
          <w:sz w:val="20"/>
        </w:rPr>
      </w:pPr>
      <w:r>
        <w:rPr>
          <w:rFonts w:ascii="Times New Roman" w:hAnsi="Times New Roman"/>
          <w:i/>
          <w:sz w:val="20"/>
        </w:rPr>
        <w:t>The following description of our share capital summarizes certain provisions contained in our notice of articles and articles (the “</w:t>
      </w:r>
      <w:r>
        <w:rPr>
          <w:rFonts w:ascii="Times New Roman" w:hAnsi="Times New Roman"/>
          <w:b/>
          <w:i/>
          <w:sz w:val="20"/>
        </w:rPr>
        <w:t>Articles</w:t>
      </w:r>
      <w:r>
        <w:rPr>
          <w:rFonts w:ascii="Times New Roman" w:hAnsi="Times New Roman"/>
          <w:sz w:val="20"/>
        </w:rPr>
        <w:t>”</w:t>
      </w:r>
      <w:r>
        <w:rPr>
          <w:rFonts w:ascii="Times New Roman" w:hAnsi="Times New Roman"/>
          <w:i/>
          <w:sz w:val="20"/>
        </w:rPr>
        <w:t xml:space="preserve">). These summaries do not purport to be complete and are subject to, and are qualified in their entirety by reference to, all of the provisions of our Articles. </w:t>
      </w:r>
    </w:p>
    <w:p>
      <w:pPr>
        <w:pStyle w:val="TextBody"/>
        <w:bidi w:val="0"/>
        <w:spacing w:before="240" w:after="0"/>
        <w:jc w:val="left"/>
        <w:rPr>
          <w:rFonts w:ascii="Times New Roman" w:hAnsi="Times New Roman"/>
          <w:sz w:val="20"/>
        </w:rPr>
      </w:pPr>
      <w:r>
        <w:rPr>
          <w:rFonts w:ascii="Times New Roman" w:hAnsi="Times New Roman"/>
          <w:sz w:val="20"/>
        </w:rPr>
        <w:t xml:space="preserve">The authorized share capital of the Company consists of (i) an unlimited number of Common Shares without par value and (ii) an unlimited number of preferred shares without par value, issuable in series. As of the date of this prospectus, the Company had 65,741,668 Common Shares and 8,295,638 Series 1 Preferred Shares issued and outstanding. The maximum number of additional Common Shares issuable, should all convertible rights be exercised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41"/>
        <w:gridCol w:w="275"/>
        <w:gridCol w:w="60"/>
        <w:gridCol w:w="1100"/>
        <w:gridCol w:w="63"/>
      </w:tblGrid>
      <w:tr>
        <w:trPr/>
        <w:tc>
          <w:tcPr>
            <w:tcW w:w="5441"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Common Shares Issuable:</w:t>
            </w:r>
          </w:p>
        </w:tc>
        <w:tc>
          <w:tcPr>
            <w:tcW w:w="275"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the</w:t>
              <w:br/>
              <w:t>date of</w:t>
              <w:br/>
              <w:t>Prospectus</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8,045,305</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Share Units(2)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1,562,375</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2013 Warrants(3)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93,421</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Founders Warrants(4)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215,000</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Underlying Founders Warrants(5)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215,000</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Class B Shares(6)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562,500</w:t>
            </w:r>
          </w:p>
        </w:tc>
        <w:tc>
          <w:tcPr>
            <w:tcW w:w="63" w:type="dxa"/>
            <w:tcBorders/>
            <w:vAlign w:val="bottom"/>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Pre-funded Warrants(7)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1,428,571</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Shares(8)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8,295,638</w:t>
            </w:r>
          </w:p>
        </w:tc>
        <w:tc>
          <w:tcPr>
            <w:tcW w:w="63" w:type="dxa"/>
            <w:tcBorders/>
            <w:vAlign w:val="bottom"/>
          </w:tcPr>
          <w:p>
            <w:pPr>
              <w:pStyle w:val="TableContents"/>
              <w:bidi w:val="0"/>
              <w:spacing w:before="0" w:after="283"/>
              <w:jc w:val="left"/>
              <w:rPr/>
            </w:pPr>
            <w:r>
              <w:rPr/>
              <w:t> </w:t>
            </w:r>
          </w:p>
        </w:tc>
      </w:tr>
      <w:tr>
        <w:trPr/>
        <w:tc>
          <w:tcPr>
            <w:tcW w:w="54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Common Shares Issuable</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20,417,810</w:t>
            </w:r>
          </w:p>
        </w:tc>
        <w:tc>
          <w:tcPr>
            <w:tcW w:w="63" w:type="dxa"/>
            <w:tcBorders/>
            <w:shd w:fill="CCEEFF" w:val="clear"/>
            <w:vAlign w:val="bottom"/>
          </w:tcPr>
          <w:p>
            <w:pPr>
              <w:pStyle w:val="TableContents"/>
              <w:bidi w:val="0"/>
              <w:spacing w:before="0" w:after="283"/>
              <w:jc w:val="left"/>
              <w:rPr/>
            </w:pPr>
            <w:r>
              <w:rPr/>
              <w:t> </w:t>
            </w:r>
          </w:p>
        </w:tc>
      </w:tr>
      <w:tr>
        <w:trPr/>
        <w:tc>
          <w:tcPr>
            <w:tcW w:w="5441"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Represents 5,086,297 options outstanding under the Company’s stock option plan, each having an exercise price between C$1.90 and C$8.00 and expiry dates ranging from March 5, 2028 to May 13, 2035 in addition to 2,959,008 options outstanding under the Company’s Omnibus Incentive Plan (“</w:t>
            </w:r>
            <w:r>
              <w:rPr>
                <w:rFonts w:ascii="Times New Roman" w:hAnsi="Times New Roman"/>
                <w:b/>
                <w:sz w:val="20"/>
              </w:rPr>
              <w:t>OIP</w:t>
            </w:r>
            <w:r>
              <w:rPr>
                <w:rFonts w:ascii="Times New Roman" w:hAnsi="Times New Roman"/>
                <w:sz w:val="20"/>
              </w:rPr>
              <w:t xml:space="preserve">”), each having an exercise price between C$8.63 and C$9.46 and expiry dates ranging from December 15, 2035 to July 13, 2036.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1,562,375 Restricted Share Units outstanding under the Company’s OIP.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common share purchase warrants to acquire up to 93,421 Common Shares at an exercise price of C$0.7572 per share, with each such common share purchase warrant expiring 120 days after the warrant holder or the holder’s spouse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Represents common share purchase warrants to acquire 215,000 units, with each unit consisting of one Common Share and one underlying common share purchase warrant (an “</w:t>
            </w:r>
            <w:r>
              <w:rPr>
                <w:rFonts w:ascii="Times New Roman" w:hAnsi="Times New Roman"/>
                <w:b/>
                <w:sz w:val="20"/>
              </w:rPr>
              <w:t>Underlying Founder Warrant</w:t>
            </w:r>
            <w:r>
              <w:rPr>
                <w:rFonts w:ascii="Times New Roman" w:hAnsi="Times New Roman"/>
                <w:sz w:val="20"/>
              </w:rPr>
              <w:t xml:space="preserve">”) at an exercise price of C$0.4984 per unit, expiring 120 days after the warrant holder ceases to be a director, officer or consultant of the Company. </w:t>
            </w:r>
          </w:p>
        </w:tc>
      </w:tr>
    </w:tbl>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Underlying Founder Warrants to acquire up to 215,000 Common Shares, at an exercise price of C$0.75 per share, expiring two years from the date of exercise of the Underlying Founder Warrant.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562,500 Common Shares that are issuable upon conversion of the 225 Class B Shares of Eupraxia Pharma Inc., the Company’s subsidiary, held by Amanda Malone, the former Chief Scientific Officer of the Company. Each Class B Share is exchangeable into Common Shares based on an exchange rate of 2,500 Common Shares for each Class B Share, subject to adjustments upon the occurrence of certain events, for a total of 562,500 Common Shares. The Class B Shares are exchangeable by Ms. Malone at her election, provided that the Company may force the exchange of the Class B Shares into Common Shares at any time on or after January 31, 2031, or on or after January 31, 2026, if the Company is listed on a stock exchange and is a reporting issuer in Canada at such time. The Company may also force the exchange of the Class B Shares into Common Shares if there is a change of control transaction involving the Company, a change in law which makes the exchange necessary or desirable or if there are a de minimis number of Class B Shares outstanding. If the Company is listed on a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exchange at the time of the applicable exchange, the Company may elect to pay Ms. Malone cash in lieu of issuing Common Shares, with such cash amount to be determined based on the then current market price of the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pre-funded warrant entitles the holder thereof to acquire one Common Share at a price of $6.99999 per Pre-Funded Warrant, which equals the public offering price per Common Share less the $0.000001 per share exercise price of each Pre-Funded Warrant following the closing date of the 2026 Offering being February 20,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8,855,638 Common Shares that are issuable on a one-to-one basis for no additional consideration upon conversion of the 8,855,638 Preferred Shares. Of the original 8,905,638 preferred shares issued on October 31, 2024, 50,000 have been converted to common shares as of the date hereof.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Shares </w:t>
      </w:r>
    </w:p>
    <w:p>
      <w:pPr>
        <w:pStyle w:val="TextBody"/>
        <w:bidi w:val="0"/>
        <w:spacing w:before="120" w:after="0"/>
        <w:jc w:val="left"/>
        <w:rPr>
          <w:rFonts w:ascii="Times New Roman" w:hAnsi="Times New Roman"/>
          <w:sz w:val="20"/>
        </w:rPr>
      </w:pPr>
      <w:r>
        <w:rPr>
          <w:rFonts w:ascii="Times New Roman" w:hAnsi="Times New Roman"/>
          <w:sz w:val="20"/>
        </w:rPr>
        <w:t xml:space="preserve">Each Common Share entitles the holder thereof to one vote at any meeting of our shareholders. The holders of Common Shares are entitled to receive if, as and when declared by the Board, dividends in such amounts as shall be determined by the Board. After the holders of preferred shares have first received from the property and assets of the Company the amount they are entitled to, the holders of Common Shares have the right to receive the Company’s remaining property and assets in the event of a liquidation, dissolution or winding-up, whether voluntary or involuntary. The Common Shares do not carry any pre-emptive, subscription, redemption or conversion rights, nor do they contain any sinking or purchase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Shares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our preferred shares from time to time in one or more series. The terms of each series of preferred shares, including the number of shares, the designation, rights, preferences, privileges, priorities, restrictions, conditions and limitations, will be determined at the time of creation of each such series by our Board, without shareholder approval, provided that all preferred shares will rank equally within their class as to dividends and distributions in the event of our dissolution, liquidation or winding-up. The preferred shares are entitled to priority over the Common Shares with respect to the distribution of assets of the Company in the event of any liquidation, dissolution or winding up of the Company’s affairs, whether voluntary or involuntary. The preferred shares are only entitled to the voting rights and dividends as provided in the special rights and restrictions attached to any particular series. </w:t>
      </w:r>
    </w:p>
    <w:p>
      <w:pPr>
        <w:pStyle w:val="TextBody"/>
        <w:bidi w:val="0"/>
        <w:spacing w:before="480" w:after="0"/>
        <w:jc w:val="center"/>
        <w:rPr>
          <w:rFonts w:ascii="Times New Roman" w:hAnsi="Times New Roman"/>
          <w:b/>
          <w:sz w:val="20"/>
        </w:rPr>
      </w:pPr>
      <w:bookmarkStart w:id="17" w:name="toc142683_12"/>
      <w:bookmarkEnd w:id="1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Debt securities may be offered separately or in combination with one or more other securities of the Company. The Company may, from time to time, issue debt securities and incur additional indebtedness other than through the issue of debt securities pursuant to this prospectus. </w:t>
      </w:r>
    </w:p>
    <w:p>
      <w:pPr>
        <w:pStyle w:val="TextBody"/>
        <w:bidi w:val="0"/>
        <w:spacing w:before="240" w:after="0"/>
        <w:jc w:val="left"/>
        <w:rPr>
          <w:rFonts w:ascii="Times New Roman" w:hAnsi="Times New Roman"/>
          <w:sz w:val="20"/>
        </w:rPr>
      </w:pPr>
      <w:r>
        <w:rPr>
          <w:rFonts w:ascii="Times New Roman" w:hAnsi="Times New Roman"/>
          <w:sz w:val="20"/>
        </w:rPr>
        <w:t>The debt securities will be issued under one or more indentures (each, a “</w:t>
      </w:r>
      <w:r>
        <w:rPr>
          <w:rFonts w:ascii="Times New Roman" w:hAnsi="Times New Roman"/>
          <w:b/>
          <w:sz w:val="20"/>
        </w:rPr>
        <w:t>Trust Indenture</w:t>
      </w:r>
      <w:r>
        <w:rPr>
          <w:rFonts w:ascii="Times New Roman" w:hAnsi="Times New Roman"/>
          <w:sz w:val="20"/>
        </w:rPr>
        <w:t>”), in each case between the Company and a financial institution or trust company organized under the laws of Canada or any province or territory thereof and authorized to carry on business as a trustee (each, a “</w:t>
      </w:r>
      <w:r>
        <w:rPr>
          <w:rFonts w:ascii="Times New Roman" w:hAnsi="Times New Roman"/>
          <w:b/>
          <w:sz w:val="20"/>
        </w:rPr>
        <w:t>Trustee</w:t>
      </w:r>
      <w:r>
        <w:rPr>
          <w:rFonts w:ascii="Times New Roman" w:hAnsi="Times New Roman"/>
          <w:sz w:val="20"/>
        </w:rPr>
        <w:t>”). Such indenture will be subject to and governed by the United States Trust Indenture Act of 1939, as amended (the “</w:t>
      </w:r>
      <w:r>
        <w:rPr>
          <w:rFonts w:ascii="Times New Roman" w:hAnsi="Times New Roman"/>
          <w:b/>
          <w:sz w:val="20"/>
        </w:rPr>
        <w:t>Trust Indenture 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on SEDAR+ at www.sedarplus.ca and EDGAR at 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Any prospectus supplement for debt securities supplementing this prospectus will contain the specific terms and other information with respect to the debt securities being offered thereby,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principal amount at which the debt securities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payment on the debt securities will be senior or subordinated to other liabilities or obligations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payment of the debt securities will be guaranteed by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the Company will pay principal, premium, if any, and interest, if any, and the place or places where debt securities can be presented for registration of transfer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will be obligated to redeem or repurchase the debt securities pursuant to any sinking or purchase fund or other provisions, or at the option of a holder, and the terms and conditions of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may redeem the debt securities at its option and the terms and conditions of any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Company will issue any registered and unregistered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payments on the debt securities will be payable with reference to any index or formula;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as Global Securities (as defined below) and, if so, the identity of the Depositary (as defined below) for the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as unregistered securities (with or without coupons), registered securities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within which and the terms and conditions, if any, upon which the Company may redeem the debt securities prior to maturity and the price or prices of which, and the currency or currency units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or covenants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under which debt securities may be defeased, whether at or prior to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holders of any series of debt securities have special rights if specified events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redemption or sinking fund or analogous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for any conversion or exchange of the debt securities for any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rights, if any, on a change of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modification, amendment or variation of any rights or terms attaching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under the Trust Indenture pursuant to which the debt securities are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Company will undertake to list the debt securities of the series on any securities exchange or automated interdealer quotation system;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debt securities bearing no interest or interest at a rate below the prevailing market rate at the time of issuance, and offer and sell these debt securities at a discount below their stated principal amount. The Company may also sell any of the debt securities for a foreign currency or currency unit, and payments on the debt securities may be payable in a foreign currency or currency unit. In any of these cases, the Company will describe certain Canadian federal and U.S. federal income tax consequences and other special considerations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Ranking and Other Indebtedness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may establish the extent and manner, if any, to which payment on or in respect of a series of debt securities will be senior or will be subordinated to the prior payment of our other liabilities and obligations and whether the payment of principal, premium, if any, and interest, if any, will be guaranteed by any other person and the nature and priority of any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of Debt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Debt Securities in Book Entry Form </w:t>
      </w:r>
    </w:p>
    <w:p>
      <w:pPr>
        <w:pStyle w:val="TextBody"/>
        <w:bidi w:val="0"/>
        <w:spacing w:before="120" w:after="0"/>
        <w:jc w:val="left"/>
        <w:rPr>
          <w:rFonts w:ascii="Times New Roman" w:hAnsi="Times New Roman"/>
          <w:sz w:val="20"/>
        </w:rPr>
      </w:pPr>
      <w:r>
        <w:rPr>
          <w:rFonts w:ascii="Times New Roman" w:hAnsi="Times New Roman"/>
          <w:sz w:val="20"/>
        </w:rPr>
        <w:t>Unless otherwise indicated in an applicable prospectus supplement, debt securities of any series may be issued in whole or in part in the form of one or more global securities (“</w:t>
      </w:r>
      <w:r>
        <w:rPr>
          <w:rFonts w:ascii="Times New Roman" w:hAnsi="Times New Roman"/>
          <w:b/>
          <w:sz w:val="20"/>
        </w:rPr>
        <w:t>Global Securities</w:t>
      </w:r>
      <w:r>
        <w:rPr>
          <w:rFonts w:ascii="Times New Roman" w:hAnsi="Times New Roman"/>
          <w:sz w:val="20"/>
        </w:rPr>
        <w:t>”) registered in the name of a designated clearing agency (a “</w:t>
      </w:r>
      <w:r>
        <w:rPr>
          <w:rFonts w:ascii="Times New Roman" w:hAnsi="Times New Roman"/>
          <w:b/>
          <w:sz w:val="20"/>
        </w:rPr>
        <w:t>Depositary</w:t>
      </w:r>
      <w:r>
        <w:rPr>
          <w:rFonts w:ascii="Times New Roman" w:hAnsi="Times New Roman"/>
          <w:sz w:val="20"/>
        </w:rPr>
        <w:t xml:space="preserve">”)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 w:hAnsi="Times New Roman"/>
          <w:b/>
          <w:sz w:val="20"/>
        </w:rPr>
        <w:t>Participants</w:t>
      </w:r>
      <w:r>
        <w:rPr>
          <w:rFonts w:ascii="Times New Roman" w:hAnsi="Times New Roman"/>
          <w:sz w:val="20"/>
        </w:rPr>
        <w:t xml:space="preserve">”).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 The laws of some states in the United States may require that certain purchasers of securities take physical delivery of such securities in definitive form.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 </w:t>
      </w:r>
    </w:p>
    <w:p>
      <w:pPr>
        <w:pStyle w:val="TextBody"/>
        <w:bidi w:val="0"/>
        <w:spacing w:before="240" w:after="0"/>
        <w:jc w:val="left"/>
        <w:rPr>
          <w:rFonts w:ascii="Times New Roman" w:hAnsi="Times New Roman"/>
          <w:sz w:val="20"/>
        </w:rPr>
      </w:pPr>
      <w:r>
        <w:rPr>
          <w:rFonts w:ascii="Times New Roman" w:hAnsi="Times New Roman"/>
          <w:sz w:val="20"/>
        </w:rPr>
        <w:t xml:space="preserve">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 </w:t>
      </w:r>
    </w:p>
    <w:p>
      <w:pPr>
        <w:pStyle w:val="TextBody"/>
        <w:bidi w:val="0"/>
        <w:spacing w:before="240" w:after="0"/>
        <w:jc w:val="left"/>
        <w:rPr>
          <w:rFonts w:ascii="Times New Roman" w:hAnsi="Times New Roman"/>
          <w:sz w:val="20"/>
        </w:rPr>
      </w:pPr>
      <w:r>
        <w:rPr>
          <w:rFonts w:ascii="Times New Roman" w:hAnsi="Times New Roman"/>
          <w:sz w:val="20"/>
        </w:rPr>
        <w:t xml:space="preserve">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 </w:t>
      </w:r>
    </w:p>
    <w:p>
      <w:pPr>
        <w:pStyle w:val="TextBody"/>
        <w:bidi w:val="0"/>
        <w:spacing w:before="240" w:after="0"/>
        <w:jc w:val="left"/>
        <w:rPr>
          <w:rFonts w:ascii="Times New Roman" w:hAnsi="Times New Roman"/>
          <w:sz w:val="20"/>
        </w:rPr>
      </w:pPr>
      <w:r>
        <w:rPr>
          <w:rFonts w:ascii="Times New Roman" w:hAnsi="Times New Roman"/>
          <w:sz w:val="20"/>
        </w:rPr>
        <w:t xml:space="preserve">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the applicable prospectus supplement, CDS Clearing and Depository Services Inc. or its successor will act as Depositary for any debt securities represented by a Global Security. </w:t>
      </w:r>
    </w:p>
    <w:p>
      <w:pPr>
        <w:pStyle w:val="TextBody"/>
        <w:bidi w:val="0"/>
        <w:spacing w:before="360" w:after="0"/>
        <w:jc w:val="left"/>
        <w:rPr>
          <w:rFonts w:ascii="Times New Roman" w:hAnsi="Times New Roman"/>
          <w:i/>
          <w:sz w:val="20"/>
        </w:rPr>
      </w:pPr>
      <w:r>
        <w:rPr>
          <w:rFonts w:ascii="Times New Roman" w:hAnsi="Times New Roman"/>
          <w:i/>
          <w:sz w:val="20"/>
        </w:rPr>
        <w:t xml:space="preserve">Debt Securities in Certificated Form </w:t>
      </w:r>
    </w:p>
    <w:p>
      <w:pPr>
        <w:pStyle w:val="TextBody"/>
        <w:bidi w:val="0"/>
        <w:spacing w:before="120" w:after="0"/>
        <w:jc w:val="left"/>
        <w:rPr>
          <w:rFonts w:ascii="Times New Roman" w:hAnsi="Times New Roman"/>
          <w:sz w:val="20"/>
        </w:rPr>
      </w:pPr>
      <w:r>
        <w:rPr>
          <w:rFonts w:ascii="Times New Roman" w:hAnsi="Times New Roman"/>
          <w:sz w:val="20"/>
        </w:rPr>
        <w:t xml:space="preserve">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 </w:t>
      </w:r>
    </w:p>
    <w:p>
      <w:pPr>
        <w:pStyle w:val="TextBody"/>
        <w:bidi w:val="0"/>
        <w:spacing w:before="480" w:after="0"/>
        <w:jc w:val="center"/>
        <w:rPr>
          <w:rFonts w:ascii="Times New Roman" w:hAnsi="Times New Roman"/>
          <w:b/>
          <w:sz w:val="20"/>
        </w:rPr>
      </w:pPr>
      <w:bookmarkStart w:id="18" w:name="toc142683_13"/>
      <w:bookmarkEnd w:id="18"/>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section describes the general terms that will apply to any warrants for the purchase of Common Shares, or equity warrants, or for the purchase of debt securities, or debt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and the United States after we have entered into it, and will be available electronically on SEDAR+ at www.sedarplus.ca and EDGAR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relating to any warrants that we offer will describe the particular terms of those warrants and include specific terms relating to the offering. </w:t>
      </w:r>
    </w:p>
    <w:p>
      <w:pPr>
        <w:pStyle w:val="TextBody"/>
        <w:bidi w:val="0"/>
        <w:spacing w:before="240" w:after="0"/>
        <w:jc w:val="left"/>
        <w:rPr>
          <w:rFonts w:ascii="Times New Roman" w:hAnsi="Times New Roman"/>
          <w:sz w:val="20"/>
        </w:rPr>
      </w:pPr>
      <w:r>
        <w:rPr>
          <w:rFonts w:ascii="Times New Roman" w:hAnsi="Times New Roman"/>
          <w:sz w:val="20"/>
        </w:rPr>
        <w:t xml:space="preserve">Original purchasers of warrants (if offered separately) in Canada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131 of the </w:t>
      </w:r>
      <w:r>
        <w:rPr>
          <w:rFonts w:ascii="Times New Roman" w:hAnsi="Times New Roman"/>
          <w:i/>
          <w:sz w:val="20"/>
        </w:rPr>
        <w:t xml:space="preserve">Securities Act </w:t>
      </w:r>
      <w:r>
        <w:rPr>
          <w:rFonts w:ascii="Times New Roman" w:hAnsi="Times New Roman"/>
          <w:sz w:val="20"/>
        </w:rPr>
        <w:t xml:space="preserve">(British Columbia), and is in addition to any other right or remedy available to original purchasers under section 131 of the </w:t>
      </w:r>
      <w:r>
        <w:rPr>
          <w:rFonts w:ascii="Times New Roman" w:hAnsi="Times New Roman"/>
          <w:i/>
          <w:sz w:val="20"/>
        </w:rPr>
        <w:t xml:space="preserve">Securities Act </w:t>
      </w:r>
      <w:r>
        <w:rPr>
          <w:rFonts w:ascii="Times New Roman" w:hAnsi="Times New Roman"/>
          <w:sz w:val="20"/>
        </w:rPr>
        <w:t xml:space="preserve">(British Columbia) or otherwise at law. </w:t>
      </w:r>
    </w:p>
    <w:p>
      <w:pPr>
        <w:pStyle w:val="TextBody"/>
        <w:bidi w:val="0"/>
        <w:spacing w:before="240" w:after="0"/>
        <w:jc w:val="left"/>
        <w:rPr>
          <w:rFonts w:ascii="Times New Roman" w:hAnsi="Times New Roman"/>
          <w:sz w:val="20"/>
        </w:rPr>
      </w:pPr>
      <w:r>
        <w:rPr>
          <w:rFonts w:ascii="Times New Roman" w:hAnsi="Times New Roman"/>
          <w:sz w:val="20"/>
        </w:rPr>
        <w:t xml:space="preserve">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 </w:t>
      </w:r>
    </w:p>
    <w:p>
      <w:pPr>
        <w:pStyle w:val="TextBody"/>
        <w:bidi w:val="0"/>
        <w:spacing w:before="360" w:after="0"/>
        <w:jc w:val="left"/>
        <w:rPr>
          <w:rFonts w:ascii="Times New Roman" w:hAnsi="Times New Roman"/>
          <w:b/>
          <w:sz w:val="20"/>
        </w:rPr>
      </w:pPr>
      <w:r>
        <w:rPr>
          <w:rFonts w:ascii="Times New Roman" w:hAnsi="Times New Roman"/>
          <w:b/>
          <w:sz w:val="20"/>
        </w:rPr>
        <w:t xml:space="preserve">Equity Warrants </w:t>
      </w:r>
    </w:p>
    <w:p>
      <w:pPr>
        <w:pStyle w:val="TextBody"/>
        <w:bidi w:val="0"/>
        <w:spacing w:before="120" w:after="0"/>
        <w:jc w:val="left"/>
        <w:rPr>
          <w:rFonts w:ascii="Times New Roman" w:hAnsi="Times New Roman"/>
          <w:sz w:val="20"/>
        </w:rPr>
      </w:pPr>
      <w:r>
        <w:rPr>
          <w:rFonts w:ascii="Times New Roman" w:hAnsi="Times New Roman"/>
          <w:sz w:val="20"/>
        </w:rPr>
        <w:t xml:space="preserve">The particular terms of each issue of equity warrants will be described in the applicable prospectus supplement. This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equity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equity warrants will be offered;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equity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Common Shares that may be purchased upon exercise of each equity warrant and the price at which and currency or currencies in which the Common Shares may be purchased upon exercise of each equity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provisions allowing or providing for adjustments in (i) the number and/or class of shares that may be purchased, (ii) the exercise price per share or (iii) the expiry of the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fractional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applied to list the equity warrants or the underlying shares on a stock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equity warrants will be offered, if any, and the number of the equity warrants that will be offered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equity warrants and the related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equity warrants will be subject to redemption or call and, if so, the terms of such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equity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equity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equity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Debt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particular terms of each issue of debt warrants will be described in the related prospectus supplement. This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debt warrants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debt warrants are being offered, if any, and the number of the debt warrants that will be offered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debt warrants and the related Securities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and designation of debt securities that may be purchased upon exercise of each debt warrant and the price at which and currency or currencies in which that principal amount of debt securities may be purchased upon exercise of each debt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debt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minimum or maximum amount of debt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warrants will be subject to redemption or call, and, if so, the terms of such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debt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have applied to list the debt warrants or the underlying debt securities on an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debt warrants;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debt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their warrants, holders of warrants will not have any of the rights of holders of the securities subject to the warrants. </w:t>
      </w:r>
    </w:p>
    <w:p>
      <w:pPr>
        <w:pStyle w:val="TextBody"/>
        <w:bidi w:val="0"/>
        <w:spacing w:before="480" w:after="0"/>
        <w:jc w:val="center"/>
        <w:rPr>
          <w:rFonts w:ascii="Times New Roman" w:hAnsi="Times New Roman"/>
          <w:b/>
          <w:sz w:val="20"/>
        </w:rPr>
      </w:pPr>
      <w:bookmarkStart w:id="19" w:name="toc142683_14"/>
      <w:bookmarkEnd w:id="19"/>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issue units, which may consist of one or more of Common Shares, preferred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units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units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Securities comprising the units and any agreement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or after which the Securities comprising the units will be transferable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list the units or any of the individual Securities comprising the units on any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Canadian income tax consequences of owning the units, including, how the purchase price paid for the units will be allocated among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units. </w:t>
            </w:r>
          </w:p>
        </w:tc>
      </w:tr>
    </w:tbl>
    <w:p>
      <w:pPr>
        <w:pStyle w:val="TextBody"/>
        <w:bidi w:val="0"/>
        <w:spacing w:before="480" w:after="0"/>
        <w:jc w:val="center"/>
        <w:rPr>
          <w:rFonts w:ascii="Times New Roman" w:hAnsi="Times New Roman"/>
          <w:b/>
          <w:sz w:val="20"/>
        </w:rPr>
      </w:pPr>
      <w:bookmarkStart w:id="20" w:name="toc142683_15"/>
      <w:bookmarkEnd w:id="20"/>
      <w:r>
        <w:rPr>
          <w:rFonts w:ascii="Times New Roman" w:hAnsi="Times New Roman"/>
          <w:b/>
          <w:sz w:val="20"/>
        </w:rPr>
        <w:t xml:space="preserve">DESCRIPTION OF SUBSCRIPTION RECEIPTS </w:t>
      </w:r>
    </w:p>
    <w:p>
      <w:pPr>
        <w:pStyle w:val="TextBody"/>
        <w:bidi w:val="0"/>
        <w:spacing w:before="240" w:after="0"/>
        <w:jc w:val="left"/>
        <w:rPr>
          <w:rFonts w:ascii="Times New Roman" w:hAnsi="Times New Roman"/>
          <w:sz w:val="20"/>
        </w:rPr>
      </w:pPr>
      <w:r>
        <w:rPr>
          <w:rFonts w:ascii="Times New Roman" w:hAnsi="Times New Roman"/>
          <w:sz w:val="20"/>
        </w:rPr>
        <w:t>We may issue subscription receipts separately or in combination with one or more other Securities, which will entitle holders thereof to receive, upon satisfaction of certain release conditions (the “</w:t>
      </w:r>
      <w:r>
        <w:rPr>
          <w:rFonts w:ascii="Times New Roman" w:hAnsi="Times New Roman"/>
          <w:b/>
          <w:sz w:val="20"/>
        </w:rPr>
        <w:t>Release Conditions</w:t>
      </w:r>
      <w:r>
        <w:rPr>
          <w:rFonts w:ascii="Times New Roman" w:hAnsi="Times New Roman"/>
          <w:sz w:val="20"/>
        </w:rPr>
        <w:t>”) and for no additional consideration, Common Shares, preferred shares, warrants, debt securities or any combination thereof. Subscription receipts will be issued pursuant to one or more subscription receipt agreements (each, a “</w:t>
      </w:r>
      <w:r>
        <w:rPr>
          <w:rFonts w:ascii="Times New Roman" w:hAnsi="Times New Roman"/>
          <w:b/>
          <w:sz w:val="20"/>
        </w:rPr>
        <w:t>Subscription Receipt Agreement</w:t>
      </w:r>
      <w:r>
        <w:rPr>
          <w:rFonts w:ascii="Times New Roman" w:hAnsi="Times New Roman"/>
          <w:sz w:val="20"/>
        </w:rPr>
        <w:t>”), the material terms of which will be described in the applicable prospectus supplement, each to be entered into between the Company and an escrow agent (the “</w:t>
      </w:r>
      <w:r>
        <w:rPr>
          <w:rFonts w:ascii="Times New Roman" w:hAnsi="Times New Roman"/>
          <w:b/>
          <w:sz w:val="20"/>
        </w:rPr>
        <w:t>Escrow Agent</w:t>
      </w:r>
      <w:r>
        <w:rPr>
          <w:rFonts w:ascii="Times New Roman" w:hAnsi="Times New Roman"/>
          <w:sz w:val="20"/>
        </w:rPr>
        <w:t xml:space="preserve">”) that will be named in the relevant prospectus supplement. Each Escrow Agent will be a financial institution organized under the laws of Canada or a province or territory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and the United States after it has been entered into.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and the Subscription Receipt Agreement for any subscription receipts that we may offer will describe the specific terms of the subscription receipts offered. This description may include, but may not be limited to, any of the following,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subscription receipts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subscription receipts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Common Shares, preferred shares, warrants and/or debt securities to be received by the holders of subscription receipts upon satisfaction of the Release Conditions, and any procedures that will result in the adjustment of those numbers;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Release Conditions that must be met in order for holders of subscription receipts to receive, for no additional consideration, the Common Shares, preferred shares, warrants and/or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the issuance and delivery of the Common Shares, preferred shares, warrants and/or debt securities to holders of subscription receipts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payments will be made to holders of subscription receipts upon delivery of the Common Shares, preferred shares, warrants and/or debt securities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Escrow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under which the Escrow Agent will hold all or a portion of the gross proceeds from the sale of subscription receipts, together with interest and income earned thereon (collectively, the “Escrowed Funds”), pending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pursuant to which the Escrow Agent will hold the Common Shares, preferred shares, warrants and/or debt securities pending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under which the Escrow Agent will release all or a portion of the Escrowed Funds to the Company upon satisfaction of the Release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contractual right of rescission to be granted to initial purchasers of subscription receipts in the event that this prospectus, the prospectus supplement under which such subscription receipts are issued or any amendment hereto or thereto contains a misrepresentation;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entitlement of the Company to purchase the subscription receipts in the open market by private agreement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the subscription receipts as Global Securities and, if so, the identity of the depositary for the Global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issue the subscription receipts as unregistered bearer securities, as registered securities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as to modification, amendment or variation of the Subscription Receipt Agreement or any rights or terms of the subscription receipts, including upon any subdivision, consolidation, reclassification or other material change of the Common Shares, preferred shares, warrants or other securities, any other reorganization, amalgamation, merger or sale of all or substantially all of the Company’s assets or any distribution of property or rights to all or substantially all of the holders of Common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we will apply to list the subscription receipts on any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U.S. and Canadian federal income tax consequences of owning the subscription receipts;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or conditions of the subscription receipts.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Original purchasers of subscription receipts will have a contractual right of rescission against us in respect of the conversion of the subscription receipts. The contractual right of rescission will entitle such original purchasers to receive the total of the amount paid on original purchase of the subscription receipts and the amount paid upon conversion of the subscription receipts (if any)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131 of the </w:t>
      </w:r>
      <w:r>
        <w:rPr>
          <w:rFonts w:ascii="Times New Roman" w:hAnsi="Times New Roman"/>
          <w:i/>
          <w:sz w:val="20"/>
        </w:rPr>
        <w:t xml:space="preserve">Securities Act </w:t>
      </w:r>
      <w:r>
        <w:rPr>
          <w:rFonts w:ascii="Times New Roman" w:hAnsi="Times New Roman"/>
          <w:sz w:val="20"/>
        </w:rPr>
        <w:t xml:space="preserve">(British Columbia), and is in addition to any other right or remedy available to original purchasers under section 131 of the </w:t>
      </w:r>
      <w:r>
        <w:rPr>
          <w:rFonts w:ascii="Times New Roman" w:hAnsi="Times New Roman"/>
          <w:i/>
          <w:sz w:val="20"/>
        </w:rPr>
        <w:t xml:space="preserve">Securities Act </w:t>
      </w:r>
      <w:r>
        <w:rPr>
          <w:rFonts w:ascii="Times New Roman" w:hAnsi="Times New Roman"/>
          <w:sz w:val="20"/>
        </w:rPr>
        <w:t xml:space="preserve">(British Columbia) or otherwise at law.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Holders of Subscription Receipts Prior to Satisfaction of Release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subscription receipts will not be, and will not have the rights of, shareholders of the Company. Holders of subscription receipts are entitled only to receive Common Shares, preferred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Escrow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preferred shares, warrants and or debt securities may be held in escrow by the Escrow Agent and will be released to the holders of subscription receipts following satisfaction of the Release Conditions at the time and under the terms specified in the Subscription Receipt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Modifications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42683_16"/>
      <w:bookmarkEnd w:id="21"/>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under this prospectus by way of a secondary offering by or for the account of certain of our securityholders. The prospectus supplement that we will file in connection with any offering of our Securities by selling securityholders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selling securityholders and, where the selling securityholder is not an individual, the name of the principal securityholder of such selling securityholder to the extent known;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our Securities owned, controlled or directed by each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our Securities being distributed for the account of each selling securityholder;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or amount of Securities to be owned by the selling securityholders after the distribution and the percentage that number or amount represents of the total number of our outstanding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our Securities are owned by the selling securityholders both of record and beneficially, of record only or beneficially only. </w:t>
            </w:r>
          </w:p>
        </w:tc>
      </w:tr>
    </w:tbl>
    <w:p>
      <w:pPr>
        <w:pStyle w:val="TextBody"/>
        <w:bidi w:val="0"/>
        <w:spacing w:before="480" w:after="0"/>
        <w:jc w:val="center"/>
        <w:rPr>
          <w:rFonts w:ascii="Times New Roman" w:hAnsi="Times New Roman"/>
          <w:b/>
          <w:sz w:val="20"/>
        </w:rPr>
      </w:pPr>
      <w:bookmarkStart w:id="22" w:name="toc142683_17"/>
      <w:bookmarkEnd w:id="22"/>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New Issue </w:t>
      </w:r>
    </w:p>
    <w:p>
      <w:pPr>
        <w:pStyle w:val="TextBody"/>
        <w:bidi w:val="0"/>
        <w:spacing w:before="120" w:after="0"/>
        <w:jc w:val="left"/>
        <w:rPr>
          <w:rFonts w:ascii="Times New Roman" w:hAnsi="Times New Roman"/>
          <w:sz w:val="20"/>
        </w:rPr>
      </w:pPr>
      <w:r>
        <w:rPr>
          <w:rFonts w:ascii="Times New Roman" w:hAnsi="Times New Roman"/>
          <w:sz w:val="20"/>
        </w:rPr>
        <w:t xml:space="preserve">We may issue our Securities offered by this prospectus for cash or other consideration (i) to or through underwriters, dealers, placement agents or other intermediaries, (ii) directly to one or more purchasers, (iii) in connection with acquisitions of assets or shares or another entity or company or (iv) in connection with the exercise or conversion of Securities outstanding as of the date hereof, including, without limitation, outstanding warrants to purchase Common Shares. The consideration for an acquisition of assets or shares of another entity or company may consist of any of the Securities covered hereby separately, a combination of such Securities, or any combination of, among other things, Securities, cash or the assumption of liabilities. </w:t>
      </w:r>
    </w:p>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with respect to our Securities being offered will set forth the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other placement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the purchase price of, and form of consideration for,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proceeds to the Company from such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fees, discounts and other items constituting underwriters’, dealers’ or agents’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Securities may be sold, from time to time, in one or more transactions at a fixed price or prices which may be changed or at market prices prevailing at the time of sale, at prices related to such prevailing prices or at negotiated prices, including sales in transactions that are deemed to be ATM Distributions, including sales made directly on the TSX, Nasdaq or other existing trading markets for the Securities. The prices at which the Securities may be offered may vary as between purchasers and during the period of distribution. If, in connection with the offering of Securities at a fixed price or prices, the underwriters have made a </w:t>
      </w:r>
      <w:r>
        <w:rPr>
          <w:rFonts w:ascii="Times New Roman" w:hAnsi="Times New Roman"/>
          <w:i/>
          <w:sz w:val="20"/>
        </w:rPr>
        <w:t xml:space="preserve">bona fide </w:t>
      </w:r>
      <w:r>
        <w:rPr>
          <w:rFonts w:ascii="Times New Roman" w:hAnsi="Times New Roman"/>
          <w:sz w:val="20"/>
        </w:rPr>
        <w:t xml:space="preserve">effort to sell all of the Securities at the initial offering price fixed in the applicable prospectus supplement, the public offering price may be decreased and thereafter further changed, from time to time, to an amount not greater than the initial offering price fixed in such prospectus supplement, in which case the compensation realized by the underwriters will be decreased by the amount that the aggregate price paid by purchasers for the Securities is less than the gross proceeds paid by the underwriters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underwriters named in the prospectus supplement are deemed to be underwriters in connection with our Securities offered by that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which may be entered into by the Company, underwriters, dealers and agents who participate in the distribution of our Securities may be entitled to indemnification by the Company against certain liabilities, including liabilities under the U.S. Securities Act of 1933, as amended, and applicable Canadian securities legislation, or to contribution with respect to payments which such underwriters, dealers or agents may be required to make in respect thereof. The underwriters, dealers and agents with whom we enter into agreements may be customers of, engage in transactions with, or perform services for, the Company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Each class or series of preferred shares, debt securities, subscription receipts, warrants and units will be a new issue of Securities with no established trading market. </w:t>
      </w:r>
      <w:r>
        <w:rPr>
          <w:rFonts w:ascii="Times New Roman" w:hAnsi="Times New Roman"/>
          <w:b/>
          <w:sz w:val="20"/>
        </w:rPr>
        <w:t>Unless otherwise specified in the applicable prospectus supplement, the preferred shares, debt securities, warrants, subscription receipts or units will not be listed on any securities or stock exchange. Unless otherwise specified in the applicable prospectus supplement, there is no market through which the preferred shares, debt securities, warrants, subscription receipts or units may be sold and purchasers may not be able to resell preferred shares, debt securities, warrants, subscription receipts or units purchased under this prospectus or any prospectus supplement. This may affect the pricing of the preferred shares, debt securities, warrants, subscription receipts or units in the secondary market, the transparency and availability of trading prices, the liquidity of the securities, and the extent of issuer regulation.</w:t>
      </w:r>
      <w:r>
        <w:rPr>
          <w:rFonts w:ascii="Times New Roman" w:hAnsi="Times New Roman"/>
          <w:sz w:val="20"/>
        </w:rPr>
        <w:t xml:space="preserve"> Subject to applicable laws, certain dealers may make a market in the preferred shares, debt securities, warrants, subscription receipts or units, as applicable, but will not be obligated to do so and may discontinue any market making at any time without notice. No assurance can be given that any dealer will make a market in the preferred shares, debt securities, warrants, subscription receipts or units or as to the liquidity of the trading market, if any, for the preferred shares, debt securities, warrants, subscription receipts or units. </w:t>
      </w:r>
    </w:p>
    <w:p>
      <w:pPr>
        <w:pStyle w:val="TextBody"/>
        <w:bidi w:val="0"/>
        <w:spacing w:before="240" w:after="0"/>
        <w:jc w:val="left"/>
        <w:rPr>
          <w:rFonts w:ascii="Times New Roman" w:hAnsi="Times New Roman"/>
          <w:sz w:val="20"/>
        </w:rPr>
      </w:pPr>
      <w:r>
        <w:rPr>
          <w:rFonts w:ascii="Times New Roman" w:hAnsi="Times New Roman"/>
          <w:sz w:val="20"/>
        </w:rPr>
        <w:t xml:space="preserve">No underwriter or dealer involved in ATM Distribution, no affiliate of such underwriter or dealer and no person acting jointly or in concert with such underwriter or dealer has over-allotted, or will over allot, our securities in connection with an ATM Distribution of our securities or effect any other transactions that are intended to stabilize the market price of our securities during an ATM Distribution. In connection with any offering of Securities, except as otherwise set out in a prospectus supplement relating to a particular offering of Securities and other than in relation to an ATM Distribution, the underwriters, dealers or agents, as the case may be, may over-allot or effect transactions intended to fix, stabilize, maintain or otherwise affect the market price of the Securities at a level other than those which otherwise might prevail on the open market. Such transactions may be commenced, interrupted or discontinued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Secondary Offering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may also, from time to time, relate to the offering of Securities by certain 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sell all or a portion of the Securities beneficially owned by them and offered hereby from time to time directly or through one or more underwriters, broker-dealers or agents. If Securities are sold through underwriters or broker-dealers, the selling securityholders will be responsible for underwriting discounts or commissions or agent’s commissions. Securities may be sold by the selling securityholders in one or more transactions at fixed prices, at prevailing market prices at the time of the sale, at varying prices determined at the time of sale, or at negotiated prices. These sales may be effected in transactions, which may involve crosses or block transactions,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any national securities exchange or quotation service on which the Securities may be listed or quoted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over-the-counter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selling securityholders effect such transactions by selling the Securities to or through underwriters, broker-dealers or agents, such underwriters, broker-dealers or agents may receive commissions in the form of discounts, concessions or commissions from the selling securityholders or commissions from purchasers of our Securities for whom they may act as agent or to whom they may sell as principal (which discounts, concessions or commissions as to particular underwriters, broker-dealers or agents may be in excess of those customary in the types of transactions involved). In connection with sales of the Securities or otherwise, the selling securityholders may enter into hedging transactions with broker-dealers, which may in turn engage in short sales of the Securities in the course of hedging in positions they assume. The selling securityholders may also sell the Securities short and deliver the Securities covered by this prospectus to close out short positions and to return borrowed shares in connection with such short sales. The selling securityholders may also loan or pledge the Securities to broker-dealers that in turn may sell such shares. </w:t>
      </w:r>
    </w:p>
    <w:p>
      <w:pPr>
        <w:pStyle w:val="TextBody"/>
        <w:bidi w:val="0"/>
        <w:spacing w:before="480" w:after="0"/>
        <w:jc w:val="center"/>
        <w:rPr>
          <w:rFonts w:ascii="Times New Roman" w:hAnsi="Times New Roman"/>
          <w:b/>
          <w:sz w:val="20"/>
        </w:rPr>
      </w:pPr>
      <w:bookmarkStart w:id="23" w:name="toc142683_18"/>
      <w:bookmarkEnd w:id="23"/>
      <w:r>
        <w:rPr>
          <w:rFonts w:ascii="Times New Roman" w:hAnsi="Times New Roman"/>
          <w:b/>
          <w:sz w:val="20"/>
        </w:rPr>
        <w:t xml:space="preserve">CERTAIN CANADIAN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describe certain Canadian federal income tax consequences to an investor who is a non-resident of Canada or to an investor who is a resident of Canada of acquiring, owning and disposing of any of our Securities offered thereunder. Investors should read the tax discussion in any prospectus supplement with respect to a particular offering and consult their own tax advisors with respect to their own particular circumstances. </w:t>
      </w:r>
    </w:p>
    <w:p>
      <w:pPr>
        <w:pStyle w:val="TextBody"/>
        <w:bidi w:val="0"/>
        <w:spacing w:before="480" w:after="0"/>
        <w:jc w:val="center"/>
        <w:rPr>
          <w:rFonts w:ascii="Times New Roman" w:hAnsi="Times New Roman"/>
          <w:b/>
          <w:sz w:val="20"/>
        </w:rPr>
      </w:pPr>
      <w:bookmarkStart w:id="24" w:name="toc142683_19"/>
      <w:bookmarkEnd w:id="24"/>
      <w:r>
        <w:rPr>
          <w:rFonts w:ascii="Times New Roman" w:hAnsi="Times New Roman"/>
          <w:b/>
          <w:sz w:val="20"/>
        </w:rPr>
        <w:t xml:space="preserve">CERTAIN MATERIAL UNITED STATES FEDERAL INCOME TAX CONSIDERATIONS FOR U.S. HOLDERS </w:t>
      </w:r>
    </w:p>
    <w:p>
      <w:pPr>
        <w:pStyle w:val="TextBody"/>
        <w:bidi w:val="0"/>
        <w:spacing w:before="240" w:after="0"/>
        <w:jc w:val="left"/>
        <w:rPr>
          <w:rFonts w:ascii="Times New Roman" w:hAnsi="Times New Roman"/>
          <w:sz w:val="20"/>
        </w:rPr>
      </w:pPr>
      <w:r>
        <w:rPr>
          <w:rFonts w:ascii="Times New Roman" w:hAnsi="Times New Roman"/>
          <w:sz w:val="20"/>
        </w:rPr>
        <w:t>Subject to the limitations and qualifications stated herein, this discussion sets forth material U.S. federal income tax considerations relating to the ownership and disposition by U.S. Holders (as hereinafter defined) of the Common Shares. The discussion is based on the U.S. Internal Revenue Code of 1986, as amended (the “</w:t>
      </w:r>
      <w:r>
        <w:rPr>
          <w:rFonts w:ascii="Times New Roman" w:hAnsi="Times New Roman"/>
          <w:b/>
          <w:sz w:val="20"/>
        </w:rPr>
        <w:t>Code</w:t>
      </w:r>
      <w:r>
        <w:rPr>
          <w:rFonts w:ascii="Times New Roman" w:hAnsi="Times New Roman"/>
          <w:sz w:val="20"/>
        </w:rPr>
        <w:t xml:space="preserve">”), its legislative history, existing and proposed U.S. Treasury Regulations thereunder, published rulings and court decisions, all as currently in effect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No opinion from legal counsel or ruling from the Internal Revenue Service (the “</w:t>
      </w:r>
      <w:r>
        <w:rPr>
          <w:rFonts w:ascii="Times New Roman" w:hAnsi="Times New Roman"/>
          <w:b/>
          <w:sz w:val="20"/>
        </w:rPr>
        <w:t>IRS</w:t>
      </w:r>
      <w:r>
        <w:rPr>
          <w:rFonts w:ascii="Times New Roman" w:hAnsi="Times New Roman"/>
          <w:sz w:val="20"/>
        </w:rPr>
        <w:t xml:space="preserve">”) has been requested, or will be obtained, regarding the U.S. federal income tax considerations applicable to U.S. Holders as discussed in this summary. This summary is not binding on the IRS, and the IRS is not precluded from taking a position that is different from, and contrary to, the positions taken in this summary. In addition, because the authorities on which this summary is based are subject to various interpretations, the IRS and the U.S. courts could disagree with one or more of the positions taken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This summary applies only to U.S. Holders that acquire Common Shares in this offering and that hold those Common Shares as capital assets (generally, property held for investment.) This discussion does not describe all of the tax consequences that may be relevant in light of a U.S. Holder’s particular circumstances. This summary is for general information purposes only and does not purport to be a complete analysis or listing of all potential U.S. federal income tax considerations that may apply to a U.S. Holder as a result of the acquisition of Common Shares pursuant to this offering. In addition, this summary does not take into account the individual facts and circumstances of any particular U.S. Holder that may affect the U.S. federal income tax consequences to such U.S. Holder, including specific tax consequences to a U.S. Holder under an applicable tax treaty. Accordingly, this summary is not intended to be, and should not be construed as, legal or U.S. federal income tax advice with respect to any particular U.S. Holder. This summary does not address the U.S. federal net investment income, U.S. federal alternative minimum, U.S. federal estate and gift, U.S. state and local, and non-U.S. tax consequences to U.S. Holders of the acquisition, ownership, and disposition of the securities. Except as specifically set forth below, this summary does not discuss applicable tax reporting requirements. Each U.S. Holder should consult its own tax advisor regarding the U.S. federal, U.S. federal net investment income, U.S. federal alternative minimum, U.S. federal estate and gift, U.S. state and local, and non-U.S. tax consequences relating to the acquisition, ownership and disposition of the Common Shares. In addition, this discussion does not discuss tax consequences applicable to U.S. Holders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and traders in securities, commodities or currencies or other persons that generally mark their securities to market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Common Shares as part of a hedging transaction, “straddle,” wash sale, conversion transaction or integrated transaction or persons entering into a constructive sale with respect to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for U.S. federal income tax purposes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required to accelerate the recognition of any item of gross income with respect to the Common Shares as a result of such income being recognized on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or government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classified as partnerships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plans, 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our Common Shares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Shares in connection with a trade or business, permanent establishment, or fixed base outside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own (directly or through attribution) 10% or more (by vote or value) of our outstanding Common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that is classified as a partnership for U.S. federal income tax purposes holds Common Shares, the U.S. federal income tax treatment of a partner will generally depend on the status of the partner and the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partnership. Partnerships holding Common Shares and partners in such partnerships are encouraged to consult their tax advisers as to the particular U.S. federal income tax consequences of holding and disposing of Common Shares.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b/>
          <w:sz w:val="20"/>
        </w:rPr>
        <w:t>U.S. Holder</w:t>
      </w:r>
      <w:r>
        <w:rPr>
          <w:rFonts w:ascii="Times New Roman" w:hAnsi="Times New Roman"/>
          <w:sz w:val="20"/>
        </w:rPr>
        <w:t xml:space="preserve">” is a holder who, for U.S. federal income tax purposes, is a beneficial owner of Common Shares and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therein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U.S. persons (within the meaning of Section 7701(a)(30) of the Code) have authority to control all substantial decisions of the trust or (2) the trust has a valid election in effect to be treated as a U.S. person under applicable U.S.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PERSONS CONSIDERING AN INVESTMENT IN COMMON SHARES SHOULD CONSULT THEIR OWN TAX ADVISORS AS TO THE PARTICULAR TAX CONSEQUENCES APPLICABLE TO THEM RELATING TO THE OWNERSHIP AND DISPOSITION OF THE COMMON SHARES, INCLUDING THE APPLICABILITY OF U.S. FEDERAL, STATE AND LOCAL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If we are considered a “passive foreign investment company” within the meaning of Section 1297 of the Code (a “</w:t>
      </w:r>
      <w:r>
        <w:rPr>
          <w:rFonts w:ascii="Times New Roman" w:hAnsi="Times New Roman"/>
          <w:b/>
          <w:sz w:val="20"/>
        </w:rPr>
        <w:t>PFIC</w:t>
      </w:r>
      <w:r>
        <w:rPr>
          <w:rFonts w:ascii="Times New Roman" w:hAnsi="Times New Roman"/>
          <w:sz w:val="20"/>
        </w:rPr>
        <w:t xml:space="preserve">”) at any time during a U.S. Holder’s holding period, the following sections will generally describe the potentially adverse U.S. federal income tax consequences to U.S. Holders of the acquisition, ownership, and disposition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In any year in which we are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w:t>
      </w:r>
    </w:p>
    <w:p>
      <w:pPr>
        <w:pStyle w:val="TextBody"/>
        <w:bidi w:val="0"/>
        <w:spacing w:before="240" w:after="0"/>
        <w:jc w:val="left"/>
        <w:rPr>
          <w:rFonts w:ascii="Times New Roman" w:hAnsi="Times New Roman"/>
          <w:sz w:val="20"/>
        </w:rPr>
      </w:pPr>
      <w:r>
        <w:rPr>
          <w:rFonts w:ascii="Times New Roman" w:hAnsi="Times New Roman"/>
          <w:sz w:val="20"/>
        </w:rPr>
        <w:t>We generally will be a PFIC for any tax year in which (a) 75% or more of our gross income for such tax year is passive income (the “</w:t>
      </w:r>
      <w:r>
        <w:rPr>
          <w:rFonts w:ascii="Times New Roman" w:hAnsi="Times New Roman"/>
          <w:b/>
          <w:sz w:val="20"/>
        </w:rPr>
        <w:t>PFIC income test</w:t>
      </w:r>
      <w:r>
        <w:rPr>
          <w:rFonts w:ascii="Times New Roman" w:hAnsi="Times New Roman"/>
          <w:sz w:val="20"/>
        </w:rPr>
        <w:t>”) or (b) 50% or more of the value of our assets either produce passive income or are held for the production of passive income, based on the quarterly average of the fair market value of such assets (the “</w:t>
      </w:r>
      <w:r>
        <w:rPr>
          <w:rFonts w:ascii="Times New Roman" w:hAnsi="Times New Roman"/>
          <w:b/>
          <w:sz w:val="20"/>
        </w:rPr>
        <w:t>PFIC asset test</w:t>
      </w:r>
      <w:r>
        <w:rPr>
          <w:rFonts w:ascii="Times New Roman" w:hAnsi="Times New Roman"/>
          <w:sz w:val="20"/>
        </w:rPr>
        <w:t xml:space="preserve">”). “Gross income” generally includes sales revenues less the cost of goods sold, plus income from investments and 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PFIC income test and PFIC asset test described above, if we own, directly or indirectly, 25% or more of the total value of the outstanding shares of another corporation, we will be treated as if we (a) held a proportionate share of the assets of such other corporation and (b) received directly a proportionate share of the income of such other corporation. In addition, for purposes of the PFIC income test and PFIC asset test described above, “passive income” does not include any interest, dividends, rents, or royalties that are received or accrued by us from a “related person” (as defined in Section 954(d)(3) of the Code), to the extent such items are properly allocable to the income of such related person that is not passive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Under certain attribution rules, if we are a PFIC, U.S. Holders will be deemed to own their proportionate share of any of our subsidiaries which is also a PFIC (a “</w:t>
      </w:r>
      <w:r>
        <w:rPr>
          <w:rFonts w:ascii="Times New Roman" w:hAnsi="Times New Roman"/>
          <w:b/>
          <w:sz w:val="20"/>
        </w:rPr>
        <w:t>Subsidiary PFIC</w:t>
      </w:r>
      <w:r>
        <w:rPr>
          <w:rFonts w:ascii="Times New Roman" w:hAnsi="Times New Roman"/>
          <w:sz w:val="20"/>
        </w:rPr>
        <w:t>”), and will generally be subject to U.S. federal income tax under the “</w:t>
      </w:r>
      <w:r>
        <w:rPr>
          <w:rFonts w:ascii="Times New Roman" w:hAnsi="Times New Roman"/>
          <w:i/>
          <w:sz w:val="20"/>
        </w:rPr>
        <w:t>Default PFIC Rules Under Section</w:t>
      </w:r>
      <w:r>
        <w:rPr>
          <w:rFonts w:ascii="Times New Roman" w:hAnsi="Times New Roman"/>
          <w:sz w:val="20"/>
        </w:rPr>
        <w:t> </w:t>
      </w:r>
      <w:r>
        <w:rPr>
          <w:rFonts w:ascii="Times New Roman" w:hAnsi="Times New Roman"/>
          <w:i/>
          <w:sz w:val="20"/>
        </w:rPr>
        <w:t>1291 of the Code</w:t>
      </w:r>
      <w:r>
        <w:rPr>
          <w:rFonts w:ascii="Times New Roman" w:hAnsi="Times New Roman"/>
          <w:sz w:val="20"/>
        </w:rPr>
        <w:t xml:space="preserve">” discussed below on their proportionate share of any (i) distribution on the shares of a Subsidiary PFIC and (ii) disposition or deemed disposition of shares of a Subsidiary PFIC, both as if such U.S. Holders directly held the shares of such Subsidiary PFIC. Accordingly, U.S. Holders should be aware that they could be subject to tax under the PFIC rules even if no distributions are received and no redemptions or other dispositions of the securities are made. In addition, U.S. Holders may be subject to U.S. federal income tax on any indirect gain realized on the stock of a Subsidiary PFIC on the sale or disposition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particular, and without limiting the foregoing, while the Company believes that it was likely a PFIC for its most recent taxable year ended, no definitive analysis has been undertaken as to whether the Company was a PFIC for its most recent taxable year or whether it will be for the current or for future taxable years. A separate determination must be made after the close of each taxable year as to whether we are a PFIC for that year, and as a result, our PFIC status may change from year to year. The total value of our assets for purposes of the asset test generally will be calculated using the market price of our shares, which may fluctuate considerably. Fluctuations in the market price of the Common Shares may result in us being a PFIC for any taxable year. Because of the uncertainties involved in establishing our PFIC status, there can be no assurance regarding whether we currently are treated as a PFIC, or may be treated as a PFIC in the future. If we are classified as a PFIC in any year during which a U.S. Holder holds the Common Shares, we generally will continue to be treated as a PFIC as to such U.S. Holder in all succeeding years, regardless of whether we continue to meet the PFIC income test or PFIC asset test discussed above. </w:t>
      </w:r>
    </w:p>
    <w:p>
      <w:pPr>
        <w:pStyle w:val="TextBody"/>
        <w:bidi w:val="0"/>
        <w:spacing w:before="360" w:after="0"/>
        <w:jc w:val="left"/>
        <w:rPr>
          <w:rFonts w:ascii="Times New Roman" w:hAnsi="Times New Roman"/>
          <w:i/>
          <w:sz w:val="20"/>
        </w:rPr>
      </w:pPr>
      <w:r>
        <w:rPr>
          <w:rFonts w:ascii="Times New Roman" w:hAnsi="Times New Roman"/>
          <w:i/>
          <w:sz w:val="20"/>
        </w:rPr>
        <w:t xml:space="preserve">Default PFIC Rules Under Section 1291 of the Code </w:t>
      </w:r>
    </w:p>
    <w:p>
      <w:pPr>
        <w:pStyle w:val="TextBody"/>
        <w:bidi w:val="0"/>
        <w:spacing w:before="120" w:after="0"/>
        <w:jc w:val="left"/>
        <w:rPr>
          <w:rFonts w:ascii="Times New Roman" w:hAnsi="Times New Roman"/>
          <w:sz w:val="20"/>
        </w:rPr>
      </w:pPr>
      <w:r>
        <w:rPr>
          <w:rFonts w:ascii="Times New Roman" w:hAnsi="Times New Roman"/>
          <w:sz w:val="20"/>
        </w:rPr>
        <w:t>If we are a PFIC, the U.S. federal income tax consequences to a U.S. Holder of the acquisition, ownership, and disposition of the Common Shares will depend on whether such U.S. Holder makes a “qualified electing fund” or “QEF” election (a “</w:t>
      </w:r>
      <w:r>
        <w:rPr>
          <w:rFonts w:ascii="Times New Roman" w:hAnsi="Times New Roman"/>
          <w:b/>
          <w:sz w:val="20"/>
        </w:rPr>
        <w:t>QEF Election</w:t>
      </w:r>
      <w:r>
        <w:rPr>
          <w:rFonts w:ascii="Times New Roman" w:hAnsi="Times New Roman"/>
          <w:sz w:val="20"/>
        </w:rPr>
        <w:t>”) or makes a mark-to-market election under Section 1296 of the Code (a “</w:t>
      </w:r>
      <w:r>
        <w:rPr>
          <w:rFonts w:ascii="Times New Roman" w:hAnsi="Times New Roman"/>
          <w:b/>
          <w:sz w:val="20"/>
        </w:rPr>
        <w:t>Mark-to-Market Election</w:t>
      </w:r>
      <w:r>
        <w:rPr>
          <w:rFonts w:ascii="Times New Roman" w:hAnsi="Times New Roman"/>
          <w:sz w:val="20"/>
        </w:rPr>
        <w:t>”) with respect to the Common Shares. A U.S. Holder that does not make either a QEF Election or a Mark-to-Market Election (a “</w:t>
      </w:r>
      <w:r>
        <w:rPr>
          <w:rFonts w:ascii="Times New Roman" w:hAnsi="Times New Roman"/>
          <w:b/>
          <w:sz w:val="20"/>
        </w:rPr>
        <w:t>Non-Electing U.S. Holder</w:t>
      </w:r>
      <w:r>
        <w:rPr>
          <w:rFonts w:ascii="Times New Roman" w:hAnsi="Times New Roman"/>
          <w:sz w:val="20"/>
        </w:rPr>
        <w:t xml:space="preserve">”) will be taxable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 Non-Electing U.S. Holder will be subject to the rules of Section 1291 of the Code with respect to (a) any gain recognized on the sale or other taxable disposition of the securities and (b) any excess distribution received on the securities.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if shorter).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1291 of the Code, any gain recognized on the sale or other taxable disposition of the securities of a PFIC (including an indirect disposition of shares of a Subsidiary PFIC), and any excess distribution received on such securities (or a distribution by a Subsidiary PFIC to its shareholder that is deemed to be received by a U.S. Holder) must be ratably allocated to each day in a Non-Electing U.S. Holder’s holding period for the securities. The amount of any such gain or excess distribution allocated to the tax year of disposition or distribution of the excess distribution and to years before the entity became a PFIC, if any, would be taxed as ordinary income (and not eligible for certain preferential tax rates, as discussed below).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 year during which a Non-Electing U.S. Holder holds the Common Shares, it will continue to be treated as a PFIC with respect to such Non-Electing U.S. Holder, regardless of whether it ceases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a PFIC in one or more subsequent tax years. If we cease to be a PFIC, a Non-Electing U.S. Holder may terminate this deemed PFIC status with respect to the Common Shares by electing to recognize gain (which will be taxed under the rules of Section 1291 of the Code as discussed above) as if such securities were sold on the last day of the last tax year for which we were a PFIC. </w:t>
      </w:r>
    </w:p>
    <w:p>
      <w:pPr>
        <w:pStyle w:val="TextBody"/>
        <w:bidi w:val="0"/>
        <w:spacing w:before="360" w:after="0"/>
        <w:jc w:val="left"/>
        <w:rPr>
          <w:rFonts w:ascii="Times New Roman" w:hAnsi="Times New Roman"/>
          <w:i/>
          <w:sz w:val="20"/>
        </w:rPr>
      </w:pPr>
      <w:r>
        <w:rPr>
          <w:rFonts w:ascii="Times New Roman" w:hAnsi="Times New Roman"/>
          <w:i/>
          <w:sz w:val="20"/>
        </w:rPr>
        <w:t xml:space="preserve">QEF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makes a QEF Election for the first tax year in which its holding period of its Common Shares begins generally will not be subject to the rules of Section 1291 of the Code discussed above with respect to its Common Shares. However, a U.S. Holder that makes a QEF Election will be subject to U.S. federal income tax on such U.S. Holder’s pro rata share of (a) our net capital gain, which will be taxed as long-term capital gain to such U.S. Holder, and (b) our ordinary earnings,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we are a PFIC, regardless of whether such amounts are actually distributed to such U.S. Holder by us. However, for any tax year in which we are a PFIC and have no ordinary earnings or net capital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timely QEF Election generally (a) may receive a tax-free distribution from us to the extent that such distribution represents “earnings and profits”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procedure for making a QEF Election, and the U.S. federal income tax consequences of making a QEF Election, will depend on whether such QEF Election is timely. A QEF Election will be treated as “timely” for purposes of avoiding the default PFIC rules discussed above if such QEF Election is made for the first year in the U.S. Holder’s holding period for the Common Shares in which we were a PFIC. A U.S. Holder may make a timely QEF Election by filing the appropriate QEF Election documents at the time such U.S. Holder files a U.S. federal income tax return for such year. </w:t>
      </w:r>
    </w:p>
    <w:p>
      <w:pPr>
        <w:pStyle w:val="TextBody"/>
        <w:bidi w:val="0"/>
        <w:spacing w:before="240" w:after="0"/>
        <w:jc w:val="left"/>
        <w:rPr>
          <w:rFonts w:ascii="Times New Roman" w:hAnsi="Times New Roman"/>
          <w:sz w:val="20"/>
        </w:rPr>
      </w:pPr>
      <w:r>
        <w:rPr>
          <w:rFonts w:ascii="Times New Roman" w:hAnsi="Times New Roman"/>
          <w:sz w:val="20"/>
        </w:rPr>
        <w:t xml:space="preserve">A QEF Election will apply to the tax year for which such QEF Election is made and to all subsequent tax years, unless such QEF Election is invalidated or terminated or the IRS consents to revocation of such QEF Election. If a U.S. Holder makes a QEF Election and, in a subsequent tax year, we cease to be a PFIC, the QEF Election will remain in effect (although it will not be applicable) during those tax years in which we are not a PFIC. Accordingly, if we become a PFIC in another subsequent tax year, the QEF Election will be effective, and the U.S. Holder will be subject to the QEF rules described above during any subsequent tax year in which we qualify as a PFIC.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QEF Election by attaching a completed IRS Form 8621, including a PFIC Annual Information Statement, to a timely filed U.S. federal income tax return. However, if we do not provide the required information with regard to us or any of our Subsidiary PFICs, U.S. Holders will not be able to make a QEF Election for such entity and will continue to be subject to the rules of Section 1291 of the Code discussed above that apply to Non-Electing U.S. Holders with respect to the taxation of gains and excess distributions. </w:t>
      </w:r>
    </w:p>
    <w:p>
      <w:pPr>
        <w:pStyle w:val="TextBody"/>
        <w:bidi w:val="0"/>
        <w:spacing w:before="360" w:after="0"/>
        <w:jc w:val="left"/>
        <w:rPr>
          <w:rFonts w:ascii="Times New Roman" w:hAnsi="Times New Roman"/>
          <w:i/>
          <w:sz w:val="20"/>
        </w:rPr>
      </w:pPr>
      <w:r>
        <w:rPr>
          <w:rFonts w:ascii="Times New Roman" w:hAnsi="Times New Roman"/>
          <w:i/>
          <w:sz w:val="20"/>
        </w:rPr>
        <w:t xml:space="preserve">Mark-to-Market Election </w:t>
      </w:r>
    </w:p>
    <w:p>
      <w:pPr>
        <w:pStyle w:val="TextBody"/>
        <w:bidi w:val="0"/>
        <w:spacing w:before="120" w:after="0"/>
        <w:jc w:val="left"/>
        <w:rPr>
          <w:rFonts w:ascii="Times New Roman" w:hAnsi="Times New Roman"/>
          <w:sz w:val="20"/>
        </w:rPr>
      </w:pPr>
      <w:r>
        <w:rPr>
          <w:rFonts w:ascii="Times New Roman" w:hAnsi="Times New Roman"/>
          <w:sz w:val="20"/>
        </w:rPr>
        <w:t xml:space="preserve">A U.S. Holder may make a Mark-to-Market Election with respect to the Common Shares only if such shares are marketable stock. The Common Shares generally will be “marketable stock” if the Common Shares are regularly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other requirements and the laws of the country in which such foreign exchange is located, together with the rules of such foreign exchange, ensure that such requirements are actually enforced and (ii) the rules of such foreign exchange ensure active trading of listed stocks. If such stock is traded on such a qualified exchange or other market, such stock generally will be considered “regularly traded” for any calendar year during which such stock is traded, other than in de minimis quantities, on at least 15 days during each calendar quarter. Provided that the Common Shares are “regularly traded” as described in the preceding sentence, such shares are expected to be marketable stock. There can be no assurance that the Common Shares will be “regularly traded” in subsequent calendar quarters. U.S. Holders should consult their own tax advisors regarding the marketable stock rules.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and such U.S. Holder has not made a timely QEF Election, the rules of Section 1291 of the Code discussed above will apply to certain dispositions of, and distributions on,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will include in ordinary income, for each tax year in which we are a PFIC, an amount equal to the excess, if any, of (a) the fair market value of the Common Shares as of the close of such tax year over (b) such U.S. Holder’s tax basis in such securities. A U.S. Holder that makes a Mark-to-Market Election will be allowed a deduction in an amount equal to the excess, if any, of (i) such U.S. Holder’s adjusted tax basis in the Common Shares, over (ii) the fair market value of such securities (but only to the extent of the net amount of previously included income as a result of the Mark-to-Market Election for prior tax years).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makes a Mark-to-Market Election generally also will adjust such U.S. Holder’s tax basis in the Common Shares to reflect the amount included in gross income or allowed as a deduction because of such Mark-to-Market Election. In addition, upon a sale or other taxable disposition of such securities,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w:t>
      </w:r>
    </w:p>
    <w:p>
      <w:pPr>
        <w:pStyle w:val="TextBody"/>
        <w:bidi w:val="0"/>
        <w:spacing w:before="240" w:after="0"/>
        <w:jc w:val="left"/>
        <w:rPr>
          <w:rFonts w:ascii="Times New Roman" w:hAnsi="Times New Roman"/>
          <w:sz w:val="20"/>
        </w:rPr>
      </w:pPr>
      <w:r>
        <w:rPr>
          <w:rFonts w:ascii="Times New Roman" w:hAnsi="Times New Roman"/>
          <w:sz w:val="20"/>
        </w:rPr>
        <w:t xml:space="preserve">A U.S. Holder makes a Mark-to-Market Election by attaching a completed IRS Form 8621 to a timely filed U.S. federal income tax return. A timely Mark-to-Market Election applies to the tax year in which such Mark-to-Market Election is made and to each subsequent tax year, unless the securities cease to be “marketable stock” or the IRS consents to revocation of such election. Each U.S. Holder should consult its own tax advisor regarding the availability of, and procedure for making, a Mark-to-Market Election. </w:t>
      </w:r>
    </w:p>
    <w:p>
      <w:pPr>
        <w:pStyle w:val="TextBody"/>
        <w:bidi w:val="0"/>
        <w:spacing w:before="240" w:after="0"/>
        <w:jc w:val="left"/>
        <w:rPr>
          <w:rFonts w:ascii="Times New Roman" w:hAnsi="Times New Roman"/>
          <w:sz w:val="20"/>
        </w:rPr>
      </w:pPr>
      <w:r>
        <w:rPr>
          <w:rFonts w:ascii="Times New Roman" w:hAnsi="Times New Roman"/>
          <w:sz w:val="20"/>
        </w:rPr>
        <w:t xml:space="preserve">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eliminate the interest charge and other income inclusion rules described above with respect to deemed dispositions of Subsidiary PFIC stock or distributions from a Subsidiary PFIC to its shareholder. </w:t>
      </w:r>
    </w:p>
    <w:p>
      <w:pPr>
        <w:pStyle w:val="TextBody"/>
        <w:bidi w:val="0"/>
        <w:spacing w:before="360" w:after="0"/>
        <w:jc w:val="left"/>
        <w:rPr>
          <w:rFonts w:ascii="Times New Roman" w:hAnsi="Times New Roman"/>
          <w:i/>
          <w:sz w:val="20"/>
        </w:rPr>
      </w:pPr>
      <w:r>
        <w:rPr>
          <w:rFonts w:ascii="Times New Roman" w:hAnsi="Times New Roman"/>
          <w:i/>
          <w:sz w:val="20"/>
        </w:rPr>
        <w:t xml:space="preserve">Other PFIC Rules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1291(f) of the Code, the IRS has issued proposed Treasury Regulations that, subject to certain exceptions, would cause a U.S. Holder that had not made a timely QEF Election to recognize gain (but not loss) upon certain transfers of securities that would otherwise be tax-deferred (e.g., gifts and exchanges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corporate reorganizations). However, the specific U.S. federal income tax consequences to a U.S. Holder may vary based on the manner in which the securities are transferred. </w:t>
      </w:r>
    </w:p>
    <w:p>
      <w:pPr>
        <w:pStyle w:val="TextBody"/>
        <w:bidi w:val="0"/>
        <w:spacing w:before="240" w:after="0"/>
        <w:jc w:val="left"/>
        <w:rPr>
          <w:rFonts w:ascii="Times New Roman" w:hAnsi="Times New Roman"/>
          <w:sz w:val="20"/>
        </w:rPr>
      </w:pPr>
      <w:r>
        <w:rPr>
          <w:rFonts w:ascii="Times New Roman" w:hAnsi="Times New Roman"/>
          <w:sz w:val="20"/>
        </w:rPr>
        <w:t xml:space="preserve">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been promulgated and which, when promulgated, may have retroactive effect. U.S. Holders should consult their own tax advisors about the potential applicability of the proposed Treasury Regulations. </w:t>
      </w:r>
    </w:p>
    <w:p>
      <w:pPr>
        <w:pStyle w:val="TextBody"/>
        <w:bidi w:val="0"/>
        <w:spacing w:before="240" w:after="0"/>
        <w:jc w:val="left"/>
        <w:rPr>
          <w:rFonts w:ascii="Times New Roman" w:hAnsi="Times New Roman"/>
          <w:sz w:val="20"/>
        </w:rPr>
      </w:pPr>
      <w:r>
        <w:rPr>
          <w:rFonts w:ascii="Times New Roman" w:hAnsi="Times New Roman"/>
          <w:sz w:val="20"/>
        </w:rPr>
        <w:t xml:space="preserve">Certain additional adverse rules will apply with respect to a U.S. Holder if we are a PFIC, regardless of whether such U.S. Holder makes a QEF Election. For example, under Section 1298(b)(6) of the Code, a U.S. Holder that uses the Common Shares as security for a loan will, except as may be provided in Treasury Regulations, be treated as having made a taxable disposition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U.S. Holder who acquires Common Shares from a decedent will not receive a “step up” in tax basis of such securities to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their own tax advisor regarding the availability of the foreign tax credit with respect to distributions by a PFIC. </w:t>
      </w:r>
    </w:p>
    <w:p>
      <w:pPr>
        <w:pStyle w:val="TextBody"/>
        <w:bidi w:val="0"/>
        <w:spacing w:before="240" w:after="0"/>
        <w:jc w:val="left"/>
        <w:rPr>
          <w:rFonts w:ascii="Times New Roman" w:hAnsi="Times New Roman"/>
          <w:sz w:val="20"/>
        </w:rPr>
      </w:pPr>
      <w:r>
        <w:rPr>
          <w:rFonts w:ascii="Times New Roman" w:hAnsi="Times New Roman"/>
          <w:sz w:val="20"/>
        </w:rPr>
        <w:t xml:space="preserve">THE PFIC RULES ARE COMPLEX, AND EACH U.S. HOLDER SHOULD CONSULT ITS OWN TAX ADVISOR REGARDING THE PFIC RULES (INCLUDING THE APPLICABILITY AND ADVISABILITY OF A QEF ELECTION AND MARK-TO-MARKET ELECTION) AND HOW THE PFIC RULES MAY AFFECT THE U.S. FEDERAL INCOME TAX CONSEQUENCES OF THE ACQUISITION, OWNERSHIP, AND DISPOSITION OF THE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Dividends and Other Distributions </w:t>
      </w:r>
    </w:p>
    <w:p>
      <w:pPr>
        <w:pStyle w:val="TextBody"/>
        <w:bidi w:val="0"/>
        <w:spacing w:before="12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above, to the extent there are any distributions made with respect to the Common Shares, a U.S. Holder generally will be required to include in its gross income distributions received with respect to its Common Shares (including the amount of Canadian taxes withheld, if any) as dividend income, but only to the extent that the distribution is paid out of our current or accumulated earnings and profits (computed using U.S. federal income tax principles), with the excess treated first as a non-taxable return of capital to the extent of the holder’s adjusted tax basis in its Common Shares and, thereafter, as capital gain recognized on a sale or exchange on the day actually or constructively received by the holder (as described below under “</w:t>
      </w:r>
      <w:r>
        <w:rPr>
          <w:rFonts w:ascii="Times New Roman" w:hAnsi="Times New Roman"/>
          <w:i/>
          <w:sz w:val="20"/>
        </w:rPr>
        <w:t>Sale or Disposition of Common Shares</w:t>
      </w:r>
      <w:r>
        <w:rPr>
          <w:rFonts w:ascii="Times New Roman" w:hAnsi="Times New Roman"/>
          <w:sz w:val="20"/>
        </w:rPr>
        <w:t xml:space="preserve">”). There can be no assurance that we will maintain calculations of our earnings and profits in accordance with U.S. federal income tax accounting principles. U.S. Holders should therefore assume that any distribution with respect to the Common Shares will constitute ordinary dividend income. Dividends paid on the Common Shares will not be eligible for the dividends received deduction allowed to U.S. corporations.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dividends paid to a non-corporate U.S. Holder by a “qualified foreign corporation” may be subject to reduced rates of taxation if certain holding period and other requirements are met. A qualified foreign corporation generally includes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corporation if (i) its Common Shares are readily tradable on an established securities market in the United States or it is eligible for benefits under a comprehensive U.S. income tax treaty that includes an exchange of information program and which the U.S. Treasury has determined is satisfactory for these purposes and (ii) if such foreign corporation is not a PFIC (as discussed above) for either the taxable year in which the dividend is paid or the preceding taxable year. The Company believes that it qualifies as a resident of Canada for purposes of, and are eligible for the benefits of, the Canada-United States Income Tax Convention (1980) as amended, which the IRS has determined is satisfactory for purposes of the qualified dividend rules and that it includes an exchange of information provision, although there can be no assurance in this regard. In addition, the Common Shares are expected to be readily tradable on an established securities market, the TSX and Nasdaq. However, whether our Common Shares are regularly traded on a qualified exchange is an annual determination based on facts that, in part, are beyond our control. Accordingly, subject to the PFIC rules discussed above, we expect that a non-corporate U.S. Holder should qualify for the reduced rate on dividends so long as the applicable holding period requirements are met. U.S. Holders should consult their own tax advisors regarding the availability of the reduced tax rate on dividends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distribution paid to a U.S. Holder in foreign currency or on the sale, exchange or other taxable disposition of the Common Shares generally will be equal to the U.S. dollar value of such foreign currency based on the exchange rate applicable on the date of receipt (regardless of whether such foreign currency is converted into U.S. dollars at that time). If the foreign currency received is not converted into U.S. dollars on the date of receipt, a U.S. Holder will have a tax basis in the foreign currency equal to its U.S. dollar value on the date of receipt. Any U.S. Holder who receives payment in foreign currency and engages in a subsequent conversion or other disposition of the foreign currency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 regarding the U.S. federal income tax consequences of receiving, owning, and disposing of foreign currency.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a U.S. Holder that pays (whether directly or through withholding) Canadian income tax with respect to dividends paid on the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subject to U.S. federal income tax. This election is made on a year-by-year basis and applies to all foreign taxes paid or accrued (whether directly or through withholding) by a U.S. Holder during a year. The foreign tax credit rules are complex and involve the application of rules that depend on a U.S. Holder’s particular circumstances. Accordingly, each U.S. Holder should consult its own tax advisor regarding the foreign tax credit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Disposition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generally will recognize gain or loss on the taxable sale or exchange of the Common Shares in an amount equal to the difference between the U.S. dollar amount realized on such sale or exchange (determined in the case of the Common Shares sold or exchanged for currencies other than U.S. dollars by reference to the spot exchange rate in effect on the date of the sale or exchange or, if the Common Shares sold or exchanged are traded on an established securities market and the U.S. Holder is a cash basis taxpayer or an electing accrual basis taxpayer, which election must be applied consistently from year to year and cannot be changed without the consent of the IRS, the spot exchange rate in effect on the settlement date) and the U.S. Holder’s adjusted tax basis in the Common Shares determined in U.S. dollars. The initial tax basis of the Common Shares to a U.S. Holder will be the U.S. Holder’s U.S. dollar purchase price for the Common Shares (determined by reference to the spot exchange rate in effect on the date of the purchase, or if the Common Shares purchased are traded on an established securities market and the U.S. Holder is a cash basis taxpayer or an electing accrual basis taxpayer, which election must be applied consistently from year to year and cannot be changed without the consent of the IRS, the spot exchange rate in effect on the settlement date). An accrual basis U.S. Holder that does not make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special election will recognize exchange gain or loss to the extent attributable to the difference between the exchange rates on the sale date and the settlement date, and such exchange gain or loss generally will constitute ordinary income or loss. </w:t>
      </w:r>
    </w:p>
    <w:p>
      <w:pPr>
        <w:pStyle w:val="TextBody"/>
        <w:bidi w:val="0"/>
        <w:spacing w:before="240" w:after="0"/>
        <w:jc w:val="left"/>
        <w:rPr>
          <w:rFonts w:ascii="Times New Roman" w:hAnsi="Times New Roman"/>
          <w:sz w:val="20"/>
        </w:rPr>
      </w:pPr>
      <w:r>
        <w:rPr>
          <w:rFonts w:ascii="Times New Roman" w:hAnsi="Times New Roman"/>
          <w:sz w:val="20"/>
        </w:rPr>
        <w:t>Subject to the discussion under “</w:t>
      </w:r>
      <w:r>
        <w:rPr>
          <w:rFonts w:ascii="Times New Roman" w:hAnsi="Times New Roman"/>
          <w:i/>
          <w:sz w:val="20"/>
        </w:rPr>
        <w:t>Passive Foreign Investment Company Rules</w:t>
      </w:r>
      <w:r>
        <w:rPr>
          <w:rFonts w:ascii="Times New Roman" w:hAnsi="Times New Roman"/>
          <w:sz w:val="20"/>
        </w:rPr>
        <w:t xml:space="preserve">” above, such gain or loss will be capital gain or loss and will be long-term gain or loss if the Common Shares have been held for more than one year. Under current law, long-term capital gains of non-corporate U.S. Holders generally are eligible for reduced rates of taxation. The deductibility of capital losses is subject to limitations. Capital gain or loss, if any, recognized by a U.S. Holder generally will be treated as U.S. source income or loss for U.S. foreign tax credit purposes. U.S. Holders are encouraged to consult their own tax advisors regarding the availability of the U.S. foreign tax credit in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Under U.S. federal income tax laws certain categories of U.S. Holders must file information returns with respect to their investment in, or involvement in, a foreign corporation. For example, U.S. return disclosure obligations (and related penalties) are imposed on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U. S. Holders may be subject to these reporting requirements unless the securities are held in an account at certain financial institutions. Penalties for failure to file certain of these information returns are substantial. U.S. Holders paying more than US$100,000 for our Common Shares generally may be required to file IRS Form 926 reporting the payment of the offer price for our Common Shares to us. Substantial penalties may be imposed upon a U.S. Holder that fails to comply. U.S. Holders should consult their own tax advisors regarding the requirements of filing information returns, including the requirement to file IRS Forms 926 and 8938. </w:t>
      </w:r>
    </w:p>
    <w:p>
      <w:pPr>
        <w:pStyle w:val="TextBody"/>
        <w:bidi w:val="0"/>
        <w:spacing w:before="240" w:after="0"/>
        <w:jc w:val="left"/>
        <w:rPr>
          <w:rFonts w:ascii="Times New Roman" w:hAnsi="Times New Roman"/>
          <w:sz w:val="20"/>
        </w:rPr>
      </w:pPr>
      <w:r>
        <w:rPr>
          <w:rFonts w:ascii="Times New Roman" w:hAnsi="Times New Roman"/>
          <w:sz w:val="20"/>
        </w:rPr>
        <w:t xml:space="preserve">Payments made within the U.S., or by a U.S. payor or U.S. middleman, of dividends on, and proceeds arising from the sale or other taxable disposition of the securities generally may be subject to information reporting and backup withholding tax, currently at the rate of 24%, if a U.S. Holder (a) fails to furnish its correct U.S. taxpayer identification number (generally on Form W-9), (b) furnishes an incorrect U.S. taxpayer identification number, (c) is notified by the IRS that such U.S. Holder has previously failed to properly report items subject to backup withholding tax, or (d) fails to certify, under penalty of perjury, that it has furnished its correct U.S. taxpayer identification number and that the IRS has not notified such U.S. Holder that it is subject to backup withholding tax. However, certain exempt persons, such as U.S. Holders that are corporations, generally are excluded from these information reporting and backup withholding tax rules. Any amounts withheld under the U.S. backup withholding tax rules will be allowed as a credit against a U.S. Holder’s U.S. federal income tax liability, if any, or will be refunded, if such U.S. Holder furnishes required information to the IRS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 </w:t>
      </w:r>
    </w:p>
    <w:p>
      <w:pPr>
        <w:pStyle w:val="TextBody"/>
        <w:bidi w:val="0"/>
        <w:spacing w:before="240" w:after="0"/>
        <w:jc w:val="left"/>
        <w:rPr>
          <w:rFonts w:ascii="Times New Roman" w:hAnsi="Times New Roman"/>
          <w:b/>
          <w:sz w:val="20"/>
        </w:rPr>
      </w:pPr>
      <w:r>
        <w:rPr>
          <w:rFonts w:ascii="Times New Roman" w:hAnsi="Times New Roman"/>
          <w:b/>
          <w:sz w:val="20"/>
        </w:rPr>
        <w:t xml:space="preserve">THE ABOVE SUMMARY IS NOT INTENDED TO CONSTITUTE A COMPLETE ANALYSIS OF ALL TAX CONSIDERATIONS APPLICABLE TO U.S. HOLDERS WITH RESPECT TO THE ACQUISITION, OWNERSHIP, AND DISPOSITION OF THE COMMON SHARES. U.S. HOLDERS SHOULD CONSULT THEIR OWN TAX ADVISORS AS TO THE TAX CONSIDERATIONS APPLICABLE TO THEM IN THEIR OWN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describe material U.S. federal income tax consequences of the ownership and disposition of any of our other Securities offered thereunder by an initial investor who is a U.S. Holder,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 </w:t>
      </w:r>
    </w:p>
    <w:p>
      <w:pPr>
        <w:pStyle w:val="TextBody"/>
        <w:bidi w:val="0"/>
        <w:spacing w:before="480" w:after="0"/>
        <w:jc w:val="center"/>
        <w:rPr>
          <w:rFonts w:ascii="Times New Roman" w:hAnsi="Times New Roman"/>
          <w:b/>
          <w:sz w:val="20"/>
        </w:rPr>
      </w:pPr>
      <w:bookmarkStart w:id="25" w:name="toc142683_20"/>
      <w:bookmarkEnd w:id="2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related to our Securities offered by this prospectus will be passed upon on our behalf by Blake, Cassels &amp; Graydon LLP, with respect to matters of Canadian law, and Troutman Pepper Locke LLP, with respect to matters of U.S. law. As of the date of this prospectus, the partners and associates of Blake, Cassels &amp; Graydon LLP beneficially own, directly or indirectly, less than 1% of our outstanding Common Shares. </w:t>
      </w:r>
    </w:p>
    <w:p>
      <w:pPr>
        <w:pStyle w:val="TextBody"/>
        <w:bidi w:val="0"/>
        <w:spacing w:before="480" w:after="0"/>
        <w:jc w:val="center"/>
        <w:rPr>
          <w:rFonts w:ascii="Times New Roman" w:hAnsi="Times New Roman"/>
          <w:b/>
          <w:sz w:val="20"/>
        </w:rPr>
      </w:pPr>
      <w:bookmarkStart w:id="26" w:name="toc142683_21"/>
      <w:bookmarkEnd w:id="26"/>
      <w:r>
        <w:rPr>
          <w:rFonts w:ascii="Times New Roman" w:hAnsi="Times New Roman"/>
          <w:b/>
          <w:sz w:val="20"/>
        </w:rPr>
        <w:t xml:space="preserve">INTEREST OF EXPERT </w:t>
      </w:r>
    </w:p>
    <w:p>
      <w:pPr>
        <w:pStyle w:val="TextBody"/>
        <w:bidi w:val="0"/>
        <w:spacing w:before="240" w:after="0"/>
        <w:jc w:val="left"/>
        <w:rPr>
          <w:rFonts w:ascii="Times New Roman" w:hAnsi="Times New Roman"/>
          <w:sz w:val="20"/>
        </w:rPr>
      </w:pPr>
      <w:r>
        <w:rPr>
          <w:rFonts w:ascii="Times New Roman" w:hAnsi="Times New Roman"/>
          <w:sz w:val="20"/>
        </w:rPr>
        <w:t xml:space="preserve">There is no person or company whose profession or business gives authority to a report, valuation, statement or opinion made by such person or company and who is named as having prepared or certified a report, valuation, statement or opinion in this prospectus other than KPMG LLP. </w:t>
      </w:r>
    </w:p>
    <w:p>
      <w:pPr>
        <w:pStyle w:val="TextBody"/>
        <w:bidi w:val="0"/>
        <w:spacing w:before="480" w:after="0"/>
        <w:jc w:val="center"/>
        <w:rPr>
          <w:rFonts w:ascii="Times New Roman" w:hAnsi="Times New Roman"/>
          <w:b/>
          <w:sz w:val="20"/>
        </w:rPr>
      </w:pPr>
      <w:bookmarkStart w:id="27" w:name="toc142683_22"/>
      <w:bookmarkEnd w:id="27"/>
      <w:r>
        <w:rPr>
          <w:rFonts w:ascii="Times New Roman" w:hAnsi="Times New Roman"/>
          <w:b/>
          <w:sz w:val="20"/>
        </w:rPr>
        <w:t xml:space="preserve">AUDITORS, TRANSFER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The auditors of the Company are KPMG LLP. KPMG LLP has confirmed with respect to the Company that they are independent within the meaning of the relevant rules and related interpretations prescribed by the relevant professional bodies in Canada and any applicable legislation or regulations, and also that they are independent accountants with respect to the Company under all relevant U.S. professional and regulatory standards. </w:t>
      </w:r>
    </w:p>
    <w:p>
      <w:pPr>
        <w:pStyle w:val="TextBody"/>
        <w:bidi w:val="0"/>
        <w:spacing w:before="240" w:after="0"/>
        <w:jc w:val="left"/>
        <w:rPr>
          <w:rFonts w:ascii="Times New Roman" w:hAnsi="Times New Roman"/>
          <w:sz w:val="20"/>
        </w:rPr>
      </w:pPr>
      <w:r>
        <w:rPr>
          <w:rFonts w:ascii="Times New Roman" w:hAnsi="Times New Roman"/>
          <w:sz w:val="20"/>
        </w:rPr>
        <w:t xml:space="preserve">The registrar and transfer agent for the Common Shares is TSX Trust Company at its principal offices in Vancouver, British Columbia. </w:t>
      </w:r>
    </w:p>
    <w:p>
      <w:pPr>
        <w:pStyle w:val="TextBody"/>
        <w:bidi w:val="0"/>
        <w:spacing w:before="480" w:after="0"/>
        <w:jc w:val="center"/>
        <w:rPr>
          <w:rFonts w:ascii="Times New Roman" w:hAnsi="Times New Roman"/>
          <w:b/>
          <w:sz w:val="20"/>
        </w:rPr>
      </w:pPr>
      <w:bookmarkStart w:id="28" w:name="toc142683_23"/>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the registration statement on Form F-10 relating to the offer and sale of the Securities, of which this prospectus forms a part. This prospectus does not contain all of the information set forth in the registration statement, certain parts of which are omitted in accordance with the rules and regulations of the SEC. Reference is made to the registration statement on Form F-10 and the exhibits thereto for further information with respect to the Company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with the securities commission or authority in each of the applicable provinces of Canada annual and quarterly reports, material change reports and other information. In addition, we are subject to the informational requirements of the U.S. Exchange Act, and, in accordance with the U.S. Exchange Act, we also file reports with, and furnish other information to, the SEC. Under a MJDS adopted by the United States and Canada, these reports and other information may be prepared in accordance with the disclosure requirements of Canada, which differ in certain respects from those in the United States. As a foreign private issuer, we are exempt from the rules under the U.S. Exchange Act prescribing the furnishing and content of proxy statements, and our officers, directors and principal shareholders are exempt from the short-swing profit recovery provisions, and our principal shareholders are exempt from the reporting provisions, contained in Section 16 of the U.S. Exchange Act. In addition, we are not required to publish financial statements as promptly as U.S.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You may read any document we file with or furnish to the securities commissions and authorities of the provinces and territories of Canada through SEDAR+ at www.sedarplus.ca and any document we file with, or furnish to, the SEC on EDGAR at www.sec.gov. Please note that the SEC’s website and the website containing Canadian securities regulatory filings are included in this prospectus as inactive textual references only. The information contained on such websites is not incorporated by reference in this prospectus and should not be considered part of this prospectus, except as explicitly described in the section titled “</w:t>
      </w:r>
      <w:r>
        <w:rPr>
          <w:rFonts w:ascii="Times New Roman" w:hAnsi="Times New Roman"/>
          <w:i/>
          <w:sz w:val="20"/>
        </w:rPr>
        <w:t>Documents Incorporated by Reference</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29" w:name="toc142683_23a"/>
      <w:bookmarkEnd w:id="29"/>
      <w:r>
        <w:rPr>
          <w:rFonts w:ascii="Times New Roman" w:hAnsi="Times New Roman"/>
          <w:b/>
          <w:sz w:val="20"/>
        </w:rPr>
        <w:t xml:space="preserve">AGENT FOR SERVICE OF PROCESS </w:t>
      </w:r>
    </w:p>
    <w:p>
      <w:pPr>
        <w:pStyle w:val="TextBody"/>
        <w:bidi w:val="0"/>
        <w:spacing w:before="240" w:after="0"/>
        <w:jc w:val="left"/>
        <w:rPr>
          <w:rFonts w:ascii="Times New Roman" w:hAnsi="Times New Roman"/>
          <w:sz w:val="20"/>
        </w:rPr>
      </w:pPr>
      <w:r>
        <w:rPr>
          <w:rFonts w:ascii="Times New Roman" w:hAnsi="Times New Roman"/>
          <w:sz w:val="20"/>
        </w:rPr>
        <w:t xml:space="preserve">Certain directors of the Company reside outside of Canada. As a result of the persons named below residing outside of Canada, each of them has appointed the following agent for service of process: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8"/>
        <w:gridCol w:w="102"/>
        <w:gridCol w:w="5205"/>
      </w:tblGrid>
      <w:tr>
        <w:trPr/>
        <w:tc>
          <w:tcPr>
            <w:tcW w:w="489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05" w:type="dxa"/>
            <w:tcBorders/>
            <w:vAlign w:val="center"/>
          </w:tcPr>
          <w:p>
            <w:pPr>
              <w:pStyle w:val="TableContents"/>
              <w:bidi w:val="0"/>
              <w:spacing w:before="0" w:after="283"/>
              <w:jc w:val="left"/>
              <w:rPr>
                <w:sz w:val="4"/>
                <w:szCs w:val="4"/>
              </w:rPr>
            </w:pPr>
            <w:r>
              <w:rPr>
                <w:sz w:val="4"/>
                <w:szCs w:val="4"/>
              </w:rPr>
            </w:r>
          </w:p>
        </w:tc>
      </w:tr>
      <w:tr>
        <w:trPr/>
        <w:tc>
          <w:tcPr>
            <w:tcW w:w="489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Person or Company</w:t>
            </w:r>
          </w:p>
        </w:tc>
        <w:tc>
          <w:tcPr>
            <w:tcW w:w="102" w:type="dxa"/>
            <w:tcBorders/>
            <w:vAlign w:val="bottom"/>
          </w:tcPr>
          <w:p>
            <w:pPr>
              <w:pStyle w:val="TableContents"/>
              <w:bidi w:val="0"/>
              <w:spacing w:before="0" w:after="283"/>
              <w:jc w:val="left"/>
              <w:rPr/>
            </w:pPr>
            <w:r>
              <w:rPr/>
              <w:t> </w:t>
            </w:r>
          </w:p>
        </w:tc>
        <w:tc>
          <w:tcPr>
            <w:tcW w:w="52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and Address of Agent</w:t>
            </w:r>
          </w:p>
        </w:tc>
      </w:tr>
      <w:tr>
        <w:trPr/>
        <w:tc>
          <w:tcPr>
            <w:tcW w:w="4898" w:type="dxa"/>
            <w:tcBorders/>
          </w:tcPr>
          <w:p>
            <w:pPr>
              <w:pStyle w:val="TableContents"/>
              <w:bidi w:val="0"/>
              <w:spacing w:before="0" w:after="20"/>
              <w:jc w:val="left"/>
              <w:rPr>
                <w:rFonts w:ascii="Times New Roman" w:hAnsi="Times New Roman"/>
                <w:sz w:val="20"/>
              </w:rPr>
            </w:pPr>
            <w:r>
              <w:rPr>
                <w:rFonts w:ascii="Times New Roman" w:hAnsi="Times New Roman"/>
                <w:sz w:val="20"/>
              </w:rPr>
              <w:t>Amy Pott</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489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4898" w:type="dxa"/>
            <w:tcBorders/>
          </w:tcPr>
          <w:p>
            <w:pPr>
              <w:pStyle w:val="TableContents"/>
              <w:bidi w:val="0"/>
              <w:spacing w:before="0" w:after="283"/>
              <w:jc w:val="left"/>
              <w:rPr/>
            </w:pPr>
            <w:r>
              <w:rPr/>
              <w:t>Robert Bazemore</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r>
        <w:trPr>
          <w:trHeight w:val="120" w:hRule="atLeast"/>
        </w:trPr>
        <w:tc>
          <w:tcPr>
            <w:tcW w:w="4898" w:type="dxa"/>
            <w:tcBorders/>
            <w:vAlign w:val="center"/>
          </w:tcPr>
          <w:p>
            <w:pPr>
              <w:pStyle w:val="TableContents"/>
              <w:bidi w:val="0"/>
              <w:spacing w:before="0" w:after="283"/>
              <w:jc w:val="left"/>
              <w:rPr>
                <w:sz w:val="4"/>
                <w:szCs w:val="4"/>
              </w:rPr>
            </w:pPr>
            <w:r>
              <w:rPr>
                <w:sz w:val="4"/>
                <w:szCs w:val="4"/>
              </w:rPr>
            </w:r>
          </w:p>
        </w:tc>
        <w:tc>
          <w:tcPr>
            <w:tcW w:w="5307" w:type="dxa"/>
            <w:gridSpan w:val="2"/>
            <w:tcBorders/>
            <w:vAlign w:val="center"/>
          </w:tcPr>
          <w:p>
            <w:pPr>
              <w:pStyle w:val="TableContents"/>
              <w:bidi w:val="0"/>
              <w:spacing w:before="0" w:after="283"/>
              <w:jc w:val="left"/>
              <w:rPr>
                <w:sz w:val="4"/>
                <w:szCs w:val="4"/>
              </w:rPr>
            </w:pPr>
            <w:r>
              <w:rPr>
                <w:sz w:val="4"/>
                <w:szCs w:val="4"/>
              </w:rPr>
            </w:r>
          </w:p>
        </w:tc>
      </w:tr>
      <w:tr>
        <w:trPr/>
        <w:tc>
          <w:tcPr>
            <w:tcW w:w="4898" w:type="dxa"/>
            <w:tcBorders/>
          </w:tcPr>
          <w:p>
            <w:pPr>
              <w:pStyle w:val="TableContents"/>
              <w:bidi w:val="0"/>
              <w:spacing w:before="0" w:after="283"/>
              <w:jc w:val="left"/>
              <w:rPr/>
            </w:pPr>
            <w:r>
              <w:rPr/>
              <w:t>Helen Thackray</w:t>
            </w:r>
          </w:p>
        </w:tc>
        <w:tc>
          <w:tcPr>
            <w:tcW w:w="102" w:type="dxa"/>
            <w:tcBorders/>
            <w:vAlign w:val="bottom"/>
          </w:tcPr>
          <w:p>
            <w:pPr>
              <w:pStyle w:val="TableContents"/>
              <w:bidi w:val="0"/>
              <w:spacing w:before="0" w:after="283"/>
              <w:jc w:val="left"/>
              <w:rPr/>
            </w:pPr>
            <w:r>
              <w:rPr/>
              <w:t> </w:t>
            </w:r>
          </w:p>
        </w:tc>
        <w:tc>
          <w:tcPr>
            <w:tcW w:w="5205" w:type="dxa"/>
            <w:tcBorders/>
          </w:tcPr>
          <w:p>
            <w:pPr>
              <w:pStyle w:val="TableContents"/>
              <w:bidi w:val="0"/>
              <w:spacing w:before="0" w:after="283"/>
              <w:jc w:val="left"/>
              <w:rPr/>
            </w:pPr>
            <w:r>
              <w:rPr/>
              <w:t>Blakes Vancouver Services Inc., c/o Blake, Cassels &amp; Graydon LLP, located at Suite 3500, The Stack, 1133 Melville Street, Vancouver, British Columbia, V6E 4E5.</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w:t>
      </w:r>
    </w:p>
    <w:p>
      <w:pPr>
        <w:pStyle w:val="TextBody"/>
        <w:bidi w:val="0"/>
        <w:spacing w:before="480" w:after="0"/>
        <w:jc w:val="center"/>
        <w:rPr>
          <w:rFonts w:ascii="Times New Roman" w:hAnsi="Times New Roman"/>
          <w:b/>
          <w:sz w:val="20"/>
        </w:rPr>
      </w:pPr>
      <w:bookmarkStart w:id="30" w:name="toc142683_24"/>
      <w:bookmarkEnd w:id="30"/>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are a company incorporated under the </w:t>
      </w:r>
      <w:r>
        <w:rPr>
          <w:rFonts w:ascii="Times New Roman" w:hAnsi="Times New Roman"/>
          <w:i/>
          <w:sz w:val="20"/>
        </w:rPr>
        <w:t>Business Corporations Act</w:t>
      </w:r>
      <w:r>
        <w:rPr>
          <w:rFonts w:ascii="Times New Roman" w:hAnsi="Times New Roman"/>
          <w:sz w:val="20"/>
        </w:rPr>
        <w:t xml:space="preserve"> (British Columbia). Most of our directors and officers are residents of Canada or otherwise reside outside the United States, and all or a substantial portion of their assets may be, and a substantial portion of the Company’s assets are, located outside the United States. We have appointed an agent for service of process in the United States, but it may be difficult for holders of securities who reside in the United States to effect service within the United States upon those directors, officers and experts who are not residents of the United States. It may also be difficult for holders of securities who reside in the United States to realize in the United States upon judgments of courts of the United States predicated upon our civil liability and the civil liability of our directors, officers and experts under the United States federal securities laws. We have been advised that a judgment of a U.S. court predicated solely upon civil liability under U.S. federal securities laws or the securities or “blue sky” laws of any state within the United States, would likely be enforceable in Canada if the United States court in which the judgment was obtained has a basis for jurisdiction in the matter that would be recognized by a Canadian court for the same purposes. We have also been advised, however, that there is substantial doubt whether an action could be brought in Canada in the first instance on the basis of the liability predicated solely upon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will file with the SEC, concurrently with our registration statement on Form F-10 of which this prospectus is a part, an appointment of agent for service of process on Form F-X. Under the Form F-X, we will appoint C T Corporation System, with an address at 28 Liberty Street, New York, New York 10005, as our agent for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process in the United States in connection with any investigation or administrative proceeding conducted by the SEC, and any civil suit or action brought against or involving us in a U.S. court arising out of or related to or concerning the offering of securities under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TO BE DELIVERED TO OFFEREES OR PURCHASERS </w:t>
      </w:r>
    </w:p>
    <w:p>
      <w:pPr>
        <w:pStyle w:val="TextBody"/>
        <w:bidi w:val="0"/>
        <w:spacing w:before="240" w:after="0"/>
        <w:jc w:val="left"/>
        <w:rPr>
          <w:rFonts w:ascii="Times New Roman" w:hAnsi="Times New Roman"/>
          <w:b/>
          <w:sz w:val="20"/>
        </w:rPr>
      </w:pPr>
      <w:r>
        <w:rPr>
          <w:rFonts w:ascii="Times New Roman" w:hAnsi="Times New Roman"/>
          <w:b/>
          <w:sz w:val="20"/>
        </w:rPr>
        <w:t xml:space="preserve">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The Registrant (“</w:t>
      </w:r>
      <w:r>
        <w:rPr>
          <w:rFonts w:ascii="Times New Roman" w:hAnsi="Times New Roman"/>
          <w:b/>
          <w:sz w:val="20"/>
        </w:rPr>
        <w:t>we</w:t>
      </w:r>
      <w:r>
        <w:rPr>
          <w:rFonts w:ascii="Times New Roman" w:hAnsi="Times New Roman"/>
          <w:sz w:val="20"/>
        </w:rPr>
        <w:t>” or “</w:t>
      </w:r>
      <w:r>
        <w:rPr>
          <w:rFonts w:ascii="Times New Roman" w:hAnsi="Times New Roman"/>
          <w:b/>
          <w:sz w:val="20"/>
        </w:rPr>
        <w:t>us</w:t>
      </w:r>
      <w:r>
        <w:rPr>
          <w:rFonts w:ascii="Times New Roman" w:hAnsi="Times New Roman"/>
          <w:sz w:val="20"/>
        </w:rPr>
        <w:t>”) is subject to the provisions of the </w:t>
      </w:r>
      <w:r>
        <w:rPr>
          <w:rFonts w:ascii="Times New Roman" w:hAnsi="Times New Roman"/>
          <w:i/>
          <w:sz w:val="20"/>
        </w:rPr>
        <w:t>Business Corporations Act</w:t>
      </w:r>
      <w:r>
        <w:rPr>
          <w:rFonts w:ascii="Times New Roman" w:hAnsi="Times New Roman"/>
          <w:sz w:val="20"/>
        </w:rPr>
        <w:t> (British Columbia) (the “</w:t>
      </w:r>
      <w:r>
        <w:rPr>
          <w:rFonts w:ascii="Times New Roman" w:hAnsi="Times New Roman"/>
          <w:b/>
          <w:sz w:val="20"/>
        </w:rPr>
        <w:t>BCBCA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160 of the BCBCA, an individual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or was a director or officer of the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or was a director or officer of another corporation at a time when the corporation is or was an affiliate of the Registrant, or at the request of the Registrant;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request of the Registrant, is or was, or holds or held a position equivalent to that of, a director or officer of a partnership, trust, joint venture or other unincorporated entity, </w:t>
            </w:r>
          </w:p>
        </w:tc>
      </w:tr>
    </w:tbl>
    <w:p>
      <w:pPr>
        <w:pStyle w:val="TextBody"/>
        <w:bidi w:val="0"/>
        <w:spacing w:before="240" w:after="0"/>
        <w:jc w:val="left"/>
        <w:rPr>
          <w:rFonts w:ascii="Times New Roman" w:hAnsi="Times New Roman"/>
          <w:sz w:val="20"/>
        </w:rPr>
      </w:pPr>
      <w:r>
        <w:rPr>
          <w:rFonts w:ascii="Times New Roman" w:hAnsi="Times New Roman"/>
          <w:sz w:val="20"/>
        </w:rPr>
        <w:t>and including, subject to limited exceptions, the heirs and personal or other legal representatives of that individual (collectively, an “</w:t>
      </w:r>
      <w:r>
        <w:rPr>
          <w:rFonts w:ascii="Times New Roman" w:hAnsi="Times New Roman"/>
          <w:b/>
          <w:sz w:val="20"/>
        </w:rPr>
        <w:t>eligible party</w:t>
      </w:r>
      <w:r>
        <w:rPr>
          <w:rFonts w:ascii="Times New Roman" w:hAnsi="Times New Roman"/>
          <w:sz w:val="20"/>
        </w:rPr>
        <w:t>”), may be indemnified by the Registrant against a judgment, penalty or fine awarded or imposed in, or an amount paid in settlement of, a proceeding (an “</w:t>
      </w:r>
      <w:r>
        <w:rPr>
          <w:rFonts w:ascii="Times New Roman" w:hAnsi="Times New Roman"/>
          <w:b/>
          <w:sz w:val="20"/>
        </w:rPr>
        <w:t>eligible penalty</w:t>
      </w:r>
      <w:r>
        <w:rPr>
          <w:rFonts w:ascii="Times New Roman" w:hAnsi="Times New Roman"/>
          <w:sz w:val="20"/>
        </w:rPr>
        <w:t>”) in which, by reason of the eligible party being or having been a director or officer of, or holding or having held a position equivalent to that of a director or officer of, the Registrant or an associated corporation, (a) the eligible party is or may be joined as a party, or (b) the eligible party is or may be liable for or in respect of a judgment, penalty or fine in, or expenses related to, the proceeding (“</w:t>
      </w:r>
      <w:r>
        <w:rPr>
          <w:rFonts w:ascii="Times New Roman" w:hAnsi="Times New Roman"/>
          <w:b/>
          <w:sz w:val="20"/>
        </w:rPr>
        <w:t>eligible proceeding</w:t>
      </w:r>
      <w:r>
        <w:rPr>
          <w:rFonts w:ascii="Times New Roman" w:hAnsi="Times New Roman"/>
          <w:sz w:val="20"/>
        </w:rPr>
        <w:t xml:space="preserve">”) to which the eligible party is or may be liable. Section 160 of the BCBCA also permits the Registrant to pay the expenses actually and reasonably incurred by an eligible party after the final disposition of the eligible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161 of the BCBCA and subject to Section 163 of the BCBCA, the Registrant must, after the final disposition of an eligible proceeding, pay the expenses actually and reasonably incurred by the eligible party in respect of that proceeding if the eligible party (a) has not been reimbursed for those expenses, and (b) is wholly successful, on the merits or otherwise, in the outcome of the proceeding or is substantially successful on the merits in the outcome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162 of the BCBCA and subject to Section 163 of the BCBCA, the Registrant may pay, as they are incurred in advance of the final disposition of an eligible proceeding, the expenses actually and reasonably incurred by an eligible party in respect of that proceeding; provided the Registrant must not make such payments unless it first receives from the eligible party a written undertaking that, if it is ultimately decided that the payment of expenses is prohibited by Section 163, the eligible party will repay the amounts advanced.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163 of the BCBCA, the Registrant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indemnity or payment is made under an earlier agreement to indemnify or pay expenses and, at the time that the agreement to indemnify or pay expenses was made, the Registrant was prohibited from giving the indemnity or paying the expenses by its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indemnity or payment is made otherwise than under an earlier agreement to indemnify or pay expenses and, at the time that the indemnity or payment is made, the Registrant is prohibited from giving the indemnity or paying the expenses by its articles;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in relation to the subject matter of the eligible proceeding, the eligible party did not act honestly and in good faith with a view to the best interests of the Registrant or the associated corporation, as the case may be;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eligible proceeding other than a civil proceeding, if the eligible party did not have reasonable grounds for believing that the eligible party’s conduct in respect of which the proceeding was brought was lawful.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eligible proceeding is brought against an eligible party by or on behalf of the Registrant or by or on behalf of an associated corporation, the Registrant must not either indemnify the eligible party against eligible penalties to which the eligible party is or may be liable in respect to the proceeding, or, after the final disposition of an eligible proceeding, pay the expenses of the eligible party under Sections 160, 161 or 162 of the BCBCA, as the case may be, in respect of the proceeding.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164 of the BCBCA, and despite any other provision of Part 5, Division 5 of the BCBCA and whether or not payment of expenses or indemnification has been sought, authorized or declined under Part 5, Division 5 of the BCBCA, the Supreme Court of British Columbia may, on application of the Registrant or an eligible party, do one or more of the following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 the Registrant to indemnify an eligible party against any liability incurred by the eligible party in respect of an eligible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 the Registrant to pay some or all of the expenses incurred by an eligible party in respect of an eligible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 the enforcement of, or payment under, an agreement of indemnification entered into by the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 the Registrant to pay some or all of the expenses actually and reasonably incurred by any person in obtaining an order under Section 164 of the BCBCA;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other order the court considers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165 of the BCBCA provides that the Registrant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the Registrant or an associated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reference to the BCBCA.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the Registrant, subject to the provisions of the BCBCA, the Registrant must indemnify a current or former director, alternate director or officer of the Registrant and his or her heirs and legal personal representatives against all eligible penalties to which such person is or may be liable, and the Registrant must, after the final disposition of an eligible proceeding, pay the expenses actually and reasonably incurred by such person in respect of that proceeding. Each director, alternate director and officer is deemed to have contracted with the Registrant on the terms of the indemnity contained in the Registrant’s articles.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the Registrant, subject to provisions of the BCBCA, the Registrant may agree to indemnify and may indemnify any person. The Registrant has entered into indemnity agreements with all of the Registrant’s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the Registrant, the Registrant may advance expenses to a director, alternate director or officer of the Registrant to the extent permitted by and in accordance with the provisions of the BCBCA.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articles of the Registrant, the failure of a director, alternate director or officer of the Registrant to comply with the BCBCA or the Registrant’s articles does not invalidate any indemnity to which he or she is entitled under the Registrant’s articles. </w:t>
      </w:r>
    </w:p>
    <w:p>
      <w:pPr>
        <w:pStyle w:val="TextBody"/>
        <w:bidi w:val="0"/>
        <w:spacing w:before="240" w:after="0"/>
        <w:jc w:val="left"/>
        <w:rPr>
          <w:rFonts w:ascii="Times New Roman" w:hAnsi="Times New Roman"/>
          <w:sz w:val="20"/>
        </w:rPr>
      </w:pPr>
      <w:r>
        <w:rPr>
          <w:rFonts w:ascii="Times New Roman" w:hAnsi="Times New Roman"/>
          <w:sz w:val="20"/>
        </w:rPr>
        <w:t xml:space="preserve">Under the articles of the Registrant, the Registrant has purchased directors’ and officers’ liability insurance that, under certain circumstances, insures its directors and officers against the costs of defense, settlement, or payment of a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Insofar as indemnification for liabilities arising under the Securities Act of 1933, as amended, may be permitted to directors, officers or persons controlling the Registrant pursuant to the foregoing provisions, the Registrant has been informed that in the opinion of the U.S. Securities and Exchange Commission (the “SEC”) such indemnification is against public policy as expressed in the Securities Act of 1933, as amended, and is therefore unenforceable.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9"/>
        <w:gridCol w:w="697"/>
        <w:gridCol w:w="8889"/>
      </w:tblGrid>
      <w:tr>
        <w:trPr/>
        <w:tc>
          <w:tcPr>
            <w:tcW w:w="619" w:type="dxa"/>
            <w:tcBorders/>
            <w:vAlign w:val="center"/>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8889" w:type="dxa"/>
            <w:tcBorders/>
            <w:vAlign w:val="center"/>
          </w:tcPr>
          <w:p>
            <w:pPr>
              <w:pStyle w:val="TableContents"/>
              <w:bidi w:val="0"/>
              <w:spacing w:before="0" w:after="283"/>
              <w:jc w:val="left"/>
              <w:rPr>
                <w:sz w:val="4"/>
                <w:szCs w:val="4"/>
              </w:rPr>
            </w:pPr>
            <w:r>
              <w:rPr>
                <w:sz w:val="4"/>
                <w:szCs w:val="4"/>
              </w:rPr>
            </w:r>
          </w:p>
        </w:tc>
      </w:tr>
      <w:tr>
        <w:trPr/>
        <w:tc>
          <w:tcPr>
            <w:tcW w:w="61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697" w:type="dxa"/>
            <w:tcBorders/>
            <w:vAlign w:val="bottom"/>
          </w:tcPr>
          <w:p>
            <w:pPr>
              <w:pStyle w:val="TableContents"/>
              <w:bidi w:val="0"/>
              <w:spacing w:before="0" w:after="283"/>
              <w:jc w:val="left"/>
              <w:rPr/>
            </w:pPr>
            <w:r>
              <w:rPr/>
              <w:t>  </w:t>
            </w:r>
          </w:p>
        </w:tc>
        <w:tc>
          <w:tcPr>
            <w:tcW w:w="888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4.1</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r>
              <w:rPr/>
              <w:t xml:space="preserve">Annual Information Form of the Registrant for the year ended December 31, 2025, dated March  11, 2026 (incorporated by reference to </w:t>
            </w:r>
            <w:hyperlink r:id="rId11">
              <w:r>
                <w:rPr>
                  <w:rStyle w:val="InternetLink"/>
                </w:rPr>
                <w:t>Exhibit 99.1</w:t>
              </w:r>
            </w:hyperlink>
            <w:r>
              <w:rPr/>
              <w:t xml:space="preserve"> to the Annual Report on Form 40-F, filed with the SEC on March 13, 2026) (File No. 001-41923)</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4.2</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r>
              <w:rPr/>
              <w:t xml:space="preserve">Audited Consolidated Financial Statements of the Registrant for the years ended December  31, 2025 and 2024, together with the notes thereto and the auditors’ report thereon (incorporated by reference to </w:t>
            </w:r>
            <w:hyperlink r:id="rId12">
              <w:r>
                <w:rPr>
                  <w:rStyle w:val="InternetLink"/>
                </w:rPr>
                <w:t>Exhibit 99.2</w:t>
              </w:r>
            </w:hyperlink>
            <w:r>
              <w:rPr/>
              <w:t xml:space="preserve"> to the Annual Report on Form 40-F, filed with the SEC on March 13, 2026) (File No. 001-41923)</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4.3</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r>
              <w:rPr/>
              <w:t xml:space="preserve">Management’s Discussion and Analysis of Financial Condition and Results of Operations for the year ended December  31, 2025 (incorporated by reference to </w:t>
            </w:r>
            <w:hyperlink r:id="rId13">
              <w:r>
                <w:rPr>
                  <w:rStyle w:val="InternetLink"/>
                </w:rPr>
                <w:t>Exhibit 99.3</w:t>
              </w:r>
            </w:hyperlink>
            <w:r>
              <w:rPr/>
              <w:t xml:space="preserve"> to the Annual Report on Form 40-F, filed with the SEC on March 13, 2026) (File No. 001-41923)</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4.4</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r>
              <w:rPr/>
              <w:t xml:space="preserve">Unaudited Interim Condensed Consolidated Financial Statements of the Registrant for the three months ended March  31, 2026 (incorporated by reference to </w:t>
            </w:r>
            <w:hyperlink r:id="rId14">
              <w:r>
                <w:rPr>
                  <w:rStyle w:val="InternetLink"/>
                </w:rPr>
                <w:t>Exhibit 99.1</w:t>
              </w:r>
            </w:hyperlink>
            <w:r>
              <w:rPr/>
              <w:t xml:space="preserve"> to the Registrant’s Report on Form 6-K, furnished to the SEC on May 12, 2026) (File No. 001-41923)</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4.5</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r>
              <w:rPr/>
              <w:t xml:space="preserve">Management’s Discussion and Analysis of the Registrant for the three months ended March  31, 2026 (incorporated by reference to </w:t>
            </w:r>
            <w:hyperlink r:id="rId15">
              <w:r>
                <w:rPr>
                  <w:rStyle w:val="InternetLink"/>
                </w:rPr>
                <w:t>Exhibit 99.2</w:t>
              </w:r>
            </w:hyperlink>
            <w:r>
              <w:rPr/>
              <w:t xml:space="preserve"> to the Registrant’s Report on Form 6-K, furnished to the SEC on May 12, 2026) (File No. 001-41923)</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4.6</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r>
              <w:rPr/>
              <w:t xml:space="preserve">Management Information Circular dated May 11, 2026, in connection with the annual general meeting of shareholders held on June  18, 2026 (incorporated by reference to </w:t>
            </w:r>
            <w:hyperlink r:id="rId16">
              <w:r>
                <w:rPr>
                  <w:rStyle w:val="InternetLink"/>
                </w:rPr>
                <w:t>Exhibit 99.1</w:t>
              </w:r>
            </w:hyperlink>
            <w:r>
              <w:rPr/>
              <w:t xml:space="preserve"> to the Registrant’s Report on Form 6-K, furnished to the SEC on May 29, 2026) (File No. 001-41923)</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4.7</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r>
              <w:rPr/>
              <w:t xml:space="preserve">Material Change Report of the Registrant dated February 23, 2026 (incorporated by reference to </w:t>
            </w:r>
            <w:hyperlink r:id="rId17">
              <w:r>
                <w:rPr>
                  <w:rStyle w:val="InternetLink"/>
                </w:rPr>
                <w:t>Exhibit 99.1</w:t>
              </w:r>
            </w:hyperlink>
            <w:r>
              <w:rPr/>
              <w:t xml:space="preserve"> to the Registrant’s Report on Form 6-K, furnished to the SEC on March 6, 2026) (File No. 001-41923)</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4.8</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r>
              <w:rPr/>
              <w:t xml:space="preserve">Material Change Report of the Registrant dated July 15, 2026 (incorporated by reference to </w:t>
            </w:r>
            <w:hyperlink r:id="rId18">
              <w:r>
                <w:rPr>
                  <w:rStyle w:val="InternetLink"/>
                </w:rPr>
                <w:t>Exhibit 99.1</w:t>
              </w:r>
            </w:hyperlink>
            <w:r>
              <w:rPr/>
              <w:t xml:space="preserve"> to the Registrant’s Report on Form 6-K, furnished to the SEC on July 15, 2026) (File No. 001-41923)</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5.1</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hyperlink w:anchor="d142683dex51.htm">
              <w:r>
                <w:rPr>
                  <w:rStyle w:val="InternetLink"/>
                </w:rPr>
                <w:t xml:space="preserve">Consent of KPMG LLP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6.1</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hyperlink w:anchor="sig">
              <w:r>
                <w:rPr>
                  <w:rStyle w:val="InternetLink"/>
                </w:rPr>
                <w:t>Powers of Attorney (included on the signature page of this Registration Statement)</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7.1</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hyperlink w:anchor="d142683dex71.htm">
              <w:r>
                <w:rPr>
                  <w:rStyle w:val="InternetLink"/>
                </w:rPr>
                <w:t xml:space="preserve">Form of Debt Indenture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107</w:t>
            </w:r>
          </w:p>
        </w:tc>
        <w:tc>
          <w:tcPr>
            <w:tcW w:w="697" w:type="dxa"/>
            <w:tcBorders/>
            <w:vAlign w:val="bottom"/>
          </w:tcPr>
          <w:p>
            <w:pPr>
              <w:pStyle w:val="TableContents"/>
              <w:bidi w:val="0"/>
              <w:spacing w:before="0" w:after="283"/>
              <w:jc w:val="left"/>
              <w:rPr/>
            </w:pPr>
            <w:r>
              <w:rPr/>
              <w:t>  </w:t>
            </w:r>
          </w:p>
        </w:tc>
        <w:tc>
          <w:tcPr>
            <w:tcW w:w="8889" w:type="dxa"/>
            <w:tcBorders/>
          </w:tcPr>
          <w:p>
            <w:pPr>
              <w:pStyle w:val="TableContents"/>
              <w:bidi w:val="0"/>
              <w:spacing w:before="0" w:after="283"/>
              <w:jc w:val="left"/>
              <w:rPr/>
            </w:pPr>
            <w:hyperlink w:anchor="d142683dexfilingfees.htm">
              <w:r>
                <w:rPr>
                  <w:rStyle w:val="InternetLink"/>
                </w:rPr>
                <w:t xml:space="preserve">Filing Fee Table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III </w:t>
      </w:r>
    </w:p>
    <w:p>
      <w:pPr>
        <w:pStyle w:val="TextBody"/>
        <w:bidi w:val="0"/>
        <w:spacing w:before="240" w:after="0"/>
        <w:jc w:val="center"/>
        <w:rPr>
          <w:rFonts w:ascii="Times New Roman" w:hAnsi="Times New Roman"/>
          <w:b/>
          <w:sz w:val="20"/>
        </w:rPr>
      </w:pPr>
      <w:r>
        <w:rPr>
          <w:rFonts w:ascii="Times New Roman" w:hAnsi="Times New Roman"/>
          <w:b/>
          <w:sz w:val="20"/>
        </w:rPr>
        <w:t xml:space="preserve">UNDERTAKING AND CONSENT TO SERVICE OF PROCESS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Registrant undertakes to make available, in person or by telephone, representatives to respond to inquiries made by the SEC staff, and to furnish promptly, when requested to do so by the SEC staff, information relating to the securities registered pursuant to Form F-10 or to transactions in said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Consent to Service of Process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At the time of filing this Form F-10, the Registrant shall file with the SEC a written irrevocable consent and power of attorney on Form F-X. </w:t>
      </w:r>
    </w:p>
    <w:p>
      <w:pPr>
        <w:pStyle w:val="TextBody"/>
        <w:bidi w:val="0"/>
        <w:spacing w:before="120" w:after="0"/>
        <w:jc w:val="left"/>
        <w:rPr>
          <w:rFonts w:ascii="Times New Roman" w:hAnsi="Times New Roman"/>
          <w:sz w:val="20"/>
        </w:rPr>
      </w:pPr>
      <w:r>
        <w:rPr>
          <w:rFonts w:ascii="Times New Roman" w:hAnsi="Times New Roman"/>
          <w:sz w:val="20"/>
        </w:rPr>
        <w:t xml:space="preserve">(b) Any change to the name or address of the agent for service of the Registrant or the trustee shall be communicated promptly to the SEC by amendment to Form F-X referencing the file number of the relevant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F-10 and has duly caused this Registration Statement to be signed on its behalf by the undersigned, thereunto duly authorized, in the City of Vancouver, Province of British Columbia, Canada, on this 5th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9"/>
        <w:gridCol w:w="122"/>
        <w:gridCol w:w="3301"/>
      </w:tblGrid>
      <w:tr>
        <w:trPr/>
        <w:tc>
          <w:tcPr>
            <w:tcW w:w="6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EUPRAXIA PHARMACEUTICALS INC.</w:t>
            </w:r>
          </w:p>
        </w:tc>
      </w:tr>
      <w:tr>
        <w:trPr>
          <w:trHeight w:val="240" w:hRule="atLeast"/>
        </w:trPr>
        <w:tc>
          <w:tcPr>
            <w:tcW w:w="659"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pPr>
            <w:r>
              <w:rPr/>
              <w:t>By:</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3301" w:type="dxa"/>
            <w:tcBorders>
              <w:bottom w:val="single" w:sz="2" w:space="0" w:color="000000"/>
            </w:tcBorders>
            <w:tcMar>
              <w:bottom w:w="28" w:type="dxa"/>
            </w:tcMar>
          </w:tcPr>
          <w:p>
            <w:pPr>
              <w:pStyle w:val="TableContents"/>
              <w:bidi w:val="0"/>
              <w:spacing w:before="0" w:after="283"/>
              <w:jc w:val="left"/>
              <w:rPr/>
            </w:pPr>
            <w:r>
              <w:rPr/>
              <w:t>/s/ James A. Helliwell</w:t>
            </w:r>
          </w:p>
        </w:tc>
      </w:tr>
      <w:tr>
        <w:trPr/>
        <w:tc>
          <w:tcPr>
            <w:tcW w:w="4082" w:type="dxa"/>
            <w:gridSpan w:val="3"/>
            <w:tcBorders/>
          </w:tcPr>
          <w:p>
            <w:pPr>
              <w:pStyle w:val="TableContents"/>
              <w:bidi w:val="0"/>
              <w:spacing w:before="0" w:after="283"/>
              <w:jc w:val="left"/>
              <w:rPr/>
            </w:pPr>
            <w:r>
              <w:rPr/>
              <w:t>Name: James A. Helliwell</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480" w:after="0"/>
        <w:jc w:val="center"/>
        <w:rPr>
          <w:rFonts w:ascii="Times New Roman" w:hAnsi="Times New Roman"/>
          <w:b/>
          <w:sz w:val="20"/>
        </w:rPr>
      </w:pPr>
      <w:bookmarkStart w:id="31" w:name="sig"/>
      <w:bookmarkEnd w:id="31"/>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James A. Helliwell and Alex Rothwell, or either of them, his true and lawful attorneys-in-fact and agents, each of whom may act alone, with full powers of substitution and resubstitution, for him and in his name, place and stead, in any and all capacities, to sign any or all amendments to this Registration Statement, including post-effective amendments to this Registration Statement, and any related registration statements necessary to register additional securities, and to file the same, with all exhibits thereto, and other documents and in connection therewith, with the SEC, granting unto said attorneys-in-fact and agents, and each of them full power and authority to do and perform each and every act and thing requisite and necessary to be done, as fully to all intents and purposes as he might or could do in person, and hereby ratifies and confirms all his said attorneys-in-fact and agents or any of them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This Power of Attorney may be executed in multiple counterparts, each of which shall be deemed an original, but which taken together shall constitute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August 5,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bidi w:val="0"/>
              <w:spacing w:before="0" w:after="283"/>
              <w:jc w:val="center"/>
              <w:rPr>
                <w:b/>
              </w:rPr>
            </w:pPr>
            <w:r>
              <w:rPr>
                <w:b/>
              </w:rPr>
              <w:t>Signature</w:t>
            </w:r>
          </w:p>
        </w:tc>
        <w:tc>
          <w:tcPr>
            <w:tcW w:w="208" w:type="dxa"/>
            <w:tcBorders/>
            <w:vAlign w:val="bottom"/>
          </w:tcPr>
          <w:p>
            <w:pPr>
              <w:pStyle w:val="TableContents"/>
              <w:bidi w:val="0"/>
              <w:spacing w:before="0" w:after="283"/>
              <w:jc w:val="left"/>
              <w:rPr/>
            </w:pPr>
            <w:r>
              <w:rPr/>
              <w:t>  </w:t>
            </w:r>
          </w:p>
        </w:tc>
        <w:tc>
          <w:tcPr>
            <w:tcW w:w="5311" w:type="dxa"/>
            <w:tcBorders/>
            <w:vAlign w:val="bottom"/>
          </w:tcPr>
          <w:p>
            <w:pPr>
              <w:pStyle w:val="TableContents"/>
              <w:bidi w:val="0"/>
              <w:spacing w:before="0" w:after="283"/>
              <w:jc w:val="center"/>
              <w:rPr>
                <w:b/>
              </w:rPr>
            </w:pPr>
            <w:r>
              <w:rPr>
                <w:b/>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A. Helliwell</w:t>
            </w:r>
          </w:p>
          <w:p>
            <w:pPr>
              <w:pStyle w:val="TableContents"/>
              <w:bidi w:val="0"/>
              <w:spacing w:before="0" w:after="20"/>
              <w:jc w:val="center"/>
              <w:rPr>
                <w:rFonts w:ascii="Times New Roman" w:hAnsi="Times New Roman"/>
                <w:sz w:val="20"/>
              </w:rPr>
            </w:pPr>
            <w:r>
              <w:rPr>
                <w:rFonts w:ascii="Times New Roman" w:hAnsi="Times New Roman"/>
                <w:sz w:val="20"/>
              </w:rPr>
              <w:t>James A. Helliwell</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Alex Rothwell</w:t>
            </w:r>
          </w:p>
          <w:p>
            <w:pPr>
              <w:pStyle w:val="TableContents"/>
              <w:bidi w:val="0"/>
              <w:spacing w:before="0" w:after="20"/>
              <w:jc w:val="center"/>
              <w:rPr>
                <w:rFonts w:ascii="Times New Roman" w:hAnsi="Times New Roman"/>
                <w:sz w:val="20"/>
              </w:rPr>
            </w:pPr>
            <w:r>
              <w:rPr>
                <w:rFonts w:ascii="Times New Roman" w:hAnsi="Times New Roman"/>
                <w:sz w:val="20"/>
              </w:rPr>
              <w:t>Alex Rothwell</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Simon Pimstone</w:t>
            </w:r>
          </w:p>
          <w:p>
            <w:pPr>
              <w:pStyle w:val="TableContents"/>
              <w:bidi w:val="0"/>
              <w:spacing w:before="0" w:after="20"/>
              <w:jc w:val="center"/>
              <w:rPr>
                <w:rFonts w:ascii="Times New Roman" w:hAnsi="Times New Roman"/>
                <w:sz w:val="20"/>
              </w:rPr>
            </w:pPr>
            <w:r>
              <w:rPr>
                <w:rFonts w:ascii="Times New Roman" w:hAnsi="Times New Roman"/>
                <w:sz w:val="20"/>
              </w:rPr>
              <w:t>Simon Pimstone</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Bazemore</w:t>
            </w:r>
          </w:p>
          <w:p>
            <w:pPr>
              <w:pStyle w:val="TableContents"/>
              <w:bidi w:val="0"/>
              <w:spacing w:before="0" w:after="20"/>
              <w:jc w:val="center"/>
              <w:rPr>
                <w:rFonts w:ascii="Times New Roman" w:hAnsi="Times New Roman"/>
                <w:sz w:val="20"/>
              </w:rPr>
            </w:pPr>
            <w:r>
              <w:rPr>
                <w:rFonts w:ascii="Times New Roman" w:hAnsi="Times New Roman"/>
                <w:sz w:val="20"/>
              </w:rPr>
              <w:t>Robert Bazemore</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Montalbano</w:t>
            </w:r>
          </w:p>
          <w:p>
            <w:pPr>
              <w:pStyle w:val="TableContents"/>
              <w:bidi w:val="0"/>
              <w:spacing w:before="0" w:after="20"/>
              <w:jc w:val="center"/>
              <w:rPr>
                <w:rFonts w:ascii="Times New Roman" w:hAnsi="Times New Roman"/>
                <w:sz w:val="20"/>
              </w:rPr>
            </w:pPr>
            <w:r>
              <w:rPr>
                <w:rFonts w:ascii="Times New Roman" w:hAnsi="Times New Roman"/>
                <w:sz w:val="20"/>
              </w:rPr>
              <w:t>John Montalbano</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Amy Pott</w:t>
            </w:r>
          </w:p>
          <w:p>
            <w:pPr>
              <w:pStyle w:val="TableContents"/>
              <w:bidi w:val="0"/>
              <w:spacing w:before="0" w:after="20"/>
              <w:jc w:val="center"/>
              <w:rPr>
                <w:rFonts w:ascii="Times New Roman" w:hAnsi="Times New Roman"/>
                <w:sz w:val="20"/>
              </w:rPr>
            </w:pPr>
            <w:r>
              <w:rPr>
                <w:rFonts w:ascii="Times New Roman" w:hAnsi="Times New Roman"/>
                <w:sz w:val="20"/>
              </w:rPr>
              <w:t>Amy Pott</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Richard Glickman</w:t>
            </w:r>
          </w:p>
          <w:p>
            <w:pPr>
              <w:pStyle w:val="TableContents"/>
              <w:bidi w:val="0"/>
              <w:spacing w:before="0" w:after="20"/>
              <w:jc w:val="center"/>
              <w:rPr>
                <w:rFonts w:ascii="Times New Roman" w:hAnsi="Times New Roman"/>
                <w:sz w:val="20"/>
              </w:rPr>
            </w:pPr>
            <w:r>
              <w:rPr>
                <w:rFonts w:ascii="Times New Roman" w:hAnsi="Times New Roman"/>
                <w:sz w:val="20"/>
              </w:rPr>
              <w:t>Richard Glickman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Joseph Freedman</w:t>
            </w:r>
          </w:p>
          <w:p>
            <w:pPr>
              <w:pStyle w:val="TableContents"/>
              <w:bidi w:val="0"/>
              <w:spacing w:before="0" w:after="20"/>
              <w:jc w:val="center"/>
              <w:rPr>
                <w:rFonts w:ascii="Times New Roman" w:hAnsi="Times New Roman"/>
                <w:sz w:val="20"/>
              </w:rPr>
            </w:pPr>
            <w:r>
              <w:rPr>
                <w:rFonts w:ascii="Times New Roman" w:hAnsi="Times New Roman"/>
                <w:sz w:val="20"/>
              </w:rPr>
              <w:t>Joseph Freedman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Helen Thackray</w:t>
            </w:r>
          </w:p>
          <w:p>
            <w:pPr>
              <w:pStyle w:val="TableContents"/>
              <w:bidi w:val="0"/>
              <w:spacing w:before="0" w:after="20"/>
              <w:jc w:val="center"/>
              <w:rPr>
                <w:rFonts w:ascii="Times New Roman" w:hAnsi="Times New Roman"/>
                <w:sz w:val="20"/>
              </w:rPr>
            </w:pPr>
            <w:r>
              <w:rPr>
                <w:rFonts w:ascii="Times New Roman" w:hAnsi="Times New Roman"/>
                <w:sz w:val="20"/>
              </w:rPr>
              <w:t>Helen Thackray</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6(a) of the Securities Act of 1933, the undersigned has signed this Registration Statement, solely in the capacity of the duly authorized representative of Eupraxia Pharmaceuticals Inc. in the United States, on August 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76"/>
        <w:gridCol w:w="167"/>
        <w:gridCol w:w="3039"/>
      </w:tblGrid>
      <w:tr>
        <w:trPr/>
        <w:tc>
          <w:tcPr>
            <w:tcW w:w="876"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PUGLISI &amp; ASSOCIATES</w:t>
            </w:r>
          </w:p>
        </w:tc>
      </w:tr>
      <w:tr>
        <w:trPr>
          <w:trHeight w:val="240" w:hRule="atLeast"/>
        </w:trPr>
        <w:tc>
          <w:tcPr>
            <w:tcW w:w="876" w:type="dxa"/>
            <w:tcBorders/>
            <w:vAlign w:val="center"/>
          </w:tcPr>
          <w:p>
            <w:pPr>
              <w:pStyle w:val="TableContents"/>
              <w:bidi w:val="0"/>
              <w:spacing w:before="0" w:after="283"/>
              <w:jc w:val="left"/>
              <w:rPr>
                <w:sz w:val="4"/>
                <w:szCs w:val="4"/>
              </w:rPr>
            </w:pPr>
            <w:r>
              <w:rPr>
                <w:sz w:val="4"/>
                <w:szCs w:val="4"/>
              </w:rPr>
            </w:r>
          </w:p>
        </w:tc>
        <w:tc>
          <w:tcPr>
            <w:tcW w:w="3206" w:type="dxa"/>
            <w:gridSpan w:val="2"/>
            <w:tcBorders/>
            <w:vAlign w:val="center"/>
          </w:tcPr>
          <w:p>
            <w:pPr>
              <w:pStyle w:val="TableContents"/>
              <w:bidi w:val="0"/>
              <w:spacing w:before="0" w:after="283"/>
              <w:jc w:val="left"/>
              <w:rPr>
                <w:sz w:val="4"/>
                <w:szCs w:val="4"/>
              </w:rPr>
            </w:pPr>
            <w:r>
              <w:rPr>
                <w:sz w:val="4"/>
                <w:szCs w:val="4"/>
              </w:rPr>
            </w:r>
          </w:p>
        </w:tc>
      </w:tr>
      <w:tr>
        <w:trPr/>
        <w:tc>
          <w:tcPr>
            <w:tcW w:w="876" w:type="dxa"/>
            <w:tcBorders/>
          </w:tcPr>
          <w:p>
            <w:pPr>
              <w:pStyle w:val="TableContents"/>
              <w:bidi w:val="0"/>
              <w:spacing w:before="0" w:after="283"/>
              <w:jc w:val="left"/>
              <w:rPr/>
            </w:pPr>
            <w:r>
              <w:rPr/>
              <w:t>By:</w:t>
            </w:r>
          </w:p>
        </w:tc>
        <w:tc>
          <w:tcPr>
            <w:tcW w:w="167" w:type="dxa"/>
            <w:tcBorders>
              <w:bottom w:val="single" w:sz="2" w:space="0" w:color="000000"/>
            </w:tcBorders>
            <w:tcMar>
              <w:bottom w:w="28" w:type="dxa"/>
            </w:tcMar>
            <w:vAlign w:val="bottom"/>
          </w:tcPr>
          <w:p>
            <w:pPr>
              <w:pStyle w:val="TableContents"/>
              <w:bidi w:val="0"/>
              <w:spacing w:before="0" w:after="283"/>
              <w:jc w:val="left"/>
              <w:rPr/>
            </w:pPr>
            <w:r>
              <w:rPr/>
              <w:t> </w:t>
            </w:r>
          </w:p>
        </w:tc>
        <w:tc>
          <w:tcPr>
            <w:tcW w:w="3039" w:type="dxa"/>
            <w:tcBorders>
              <w:bottom w:val="single" w:sz="2" w:space="0" w:color="000000"/>
            </w:tcBorders>
            <w:tcMar>
              <w:bottom w:w="28" w:type="dxa"/>
            </w:tcMar>
          </w:tcPr>
          <w:p>
            <w:pPr>
              <w:pStyle w:val="TableContents"/>
              <w:bidi w:val="0"/>
              <w:spacing w:before="0" w:after="283"/>
              <w:jc w:val="left"/>
              <w:rPr/>
            </w:pPr>
            <w:r>
              <w:rPr/>
              <w:t>/s/ Donald J. Puglisi</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Donald J. Puglisi</w:t>
            </w:r>
          </w:p>
        </w:tc>
      </w:tr>
      <w:tr>
        <w:trPr/>
        <w:tc>
          <w:tcPr>
            <w:tcW w:w="4082" w:type="dxa"/>
            <w:gridSpan w:val="3"/>
            <w:tcBorders/>
          </w:tcPr>
          <w:p>
            <w:pPr>
              <w:pStyle w:val="TableContents"/>
              <w:bidi w:val="0"/>
              <w:spacing w:before="0" w:after="283"/>
              <w:jc w:val="left"/>
              <w:rPr/>
            </w:pPr>
            <w:r>
              <w:rPr/>
              <w:t>T</w:t>
            </w:r>
            <w:r>
              <w:rPr>
                <w:sz w:val="20"/>
              </w:rPr>
              <w:t>ITLE</w:t>
            </w:r>
            <w:r>
              <w:rPr/>
              <w:t>: M</w:t>
            </w:r>
            <w:r>
              <w:rPr>
                <w:sz w:val="20"/>
              </w:rPr>
              <w:t>ANAGING</w:t>
            </w:r>
            <w:r>
              <w:rPr/>
              <w:t xml:space="preserve"> D</w:t>
            </w:r>
            <w:r>
              <w:rPr>
                <w:sz w:val="20"/>
              </w:rPr>
              <w:t>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III-4 </w:t>
      </w:r>
    </w:p>
    <w:p>
      <w:pPr>
        <w:pStyle w:val="TextBody"/>
        <w:bidi w:val="0"/>
        <w:spacing w:before="0" w:after="0"/>
        <w:jc w:val="right"/>
        <w:rPr>
          <w:rFonts w:ascii="Times New Roman" w:hAnsi="Times New Roman"/>
          <w:b/>
          <w:sz w:val="20"/>
        </w:rPr>
      </w:pPr>
      <w:bookmarkStart w:id="32" w:name="d142683dex51.htm"/>
      <w:bookmarkStart w:id="33" w:name="ksd142683dex51"/>
      <w:bookmarkEnd w:id="32"/>
      <w:bookmarkEnd w:id="33"/>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Eupraxia Pharmaceuticals Inc.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12, 2026 on the consolidated financial statements of Eupraxia Pharmaceuticals Inc. (the “Company”), which comprise the consolidated balance sheets as of December 31, 2025 and 2024, the related consolidated statements of operations and comprehensive loss, changes in shareholders’ equity and cash flows for each of the years then ended, and the related notes, which is incorporated by reference in the Registration Statement on Form F-10 dated August 5, 2026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Chartered Professional Accountants </w:t>
      </w:r>
    </w:p>
    <w:p>
      <w:pPr>
        <w:pStyle w:val="TextBody"/>
        <w:bidi w:val="0"/>
        <w:spacing w:before="0" w:after="0"/>
        <w:jc w:val="left"/>
        <w:rPr>
          <w:rFonts w:ascii="Times New Roman" w:hAnsi="Times New Roman"/>
          <w:sz w:val="20"/>
        </w:rPr>
      </w:pPr>
      <w:r>
        <w:rPr>
          <w:rFonts w:ascii="Times New Roman" w:hAnsi="Times New Roman"/>
          <w:sz w:val="20"/>
        </w:rPr>
        <w:t xml:space="preserve">August 5, 2026 </w:t>
      </w:r>
    </w:p>
    <w:p>
      <w:pPr>
        <w:pStyle w:val="TextBody"/>
        <w:bidi w:val="0"/>
        <w:spacing w:before="0" w:after="0"/>
        <w:jc w:val="left"/>
        <w:rPr>
          <w:rFonts w:ascii="Times New Roman" w:hAnsi="Times New Roman"/>
          <w:sz w:val="20"/>
        </w:rPr>
      </w:pPr>
      <w:r>
        <w:rPr>
          <w:rFonts w:ascii="Times New Roman" w:hAnsi="Times New Roman"/>
          <w:sz w:val="20"/>
        </w:rPr>
        <w:t xml:space="preserve">Vancouver, Canada </w:t>
      </w:r>
    </w:p>
    <w:p>
      <w:pPr>
        <w:pStyle w:val="TextBody"/>
        <w:bidi w:val="0"/>
        <w:spacing w:before="0" w:after="0"/>
        <w:jc w:val="right"/>
        <w:rPr>
          <w:rFonts w:ascii="Times New Roman" w:hAnsi="Times New Roman"/>
          <w:b/>
          <w:sz w:val="20"/>
        </w:rPr>
      </w:pPr>
      <w:bookmarkStart w:id="34" w:name="d142683dex71.htm"/>
      <w:bookmarkStart w:id="35" w:name="ksd142683dex71"/>
      <w:bookmarkEnd w:id="34"/>
      <w:bookmarkEnd w:id="35"/>
      <w:r>
        <w:rPr>
          <w:rFonts w:ascii="Times New Roman" w:hAnsi="Times New Roman"/>
          <w:b/>
          <w:sz w:val="20"/>
        </w:rPr>
        <w:t xml:space="preserve">Exhibit 7.1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EUPRAXIA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as U.S. Trustee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as Canadian Trustee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11415" w:type="dxa"/>
        <w:jc w:val="center"/>
        <w:tblInd w:w="0" w:type="dxa"/>
        <w:tblLayout w:type="fixed"/>
        <w:tblCellMar>
          <w:top w:w="0" w:type="dxa"/>
          <w:left w:w="0" w:type="dxa"/>
          <w:bottom w:w="0" w:type="dxa"/>
          <w:right w:w="0" w:type="dxa"/>
        </w:tblCellMar>
      </w:tblPr>
      <w:tblGrid>
        <w:gridCol w:w="1040"/>
        <w:gridCol w:w="60"/>
        <w:gridCol w:w="9620"/>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1</w:t>
            </w:r>
          </w:p>
        </w:tc>
        <w:tc>
          <w:tcPr>
            <w:tcW w:w="60" w:type="dxa"/>
            <w:tcBorders/>
            <w:vAlign w:val="bottom"/>
          </w:tcPr>
          <w:p>
            <w:pPr>
              <w:pStyle w:val="TableContents"/>
              <w:bidi w:val="0"/>
              <w:spacing w:before="0" w:after="283"/>
              <w:jc w:val="left"/>
              <w:rPr/>
            </w:pPr>
            <w:r>
              <w:rPr/>
              <w:t> </w:t>
            </w:r>
          </w:p>
        </w:tc>
        <w:tc>
          <w:tcPr>
            <w:tcW w:w="9620" w:type="dxa"/>
            <w:tcBorders/>
          </w:tcPr>
          <w:p>
            <w:pPr>
              <w:pStyle w:val="TableContents"/>
              <w:bidi w:val="0"/>
              <w:spacing w:before="0" w:after="283"/>
              <w:jc w:val="left"/>
              <w:rPr/>
            </w:pPr>
            <w:r>
              <w:rPr/>
              <w:t>DEFINITIONS AND OTHER PROVISIONS OF GENERAL APPLICATION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Compliance Certificates and Opinions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Form of Documents Delivered to Trustees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Acts of Holders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Notices, etc. to Trustees and Company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Notice to Holders; Waiver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Effect of Headings and Table of Contents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Successors and Assigns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Severability Clause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1.10</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Benefits of Indenture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Legal Holidays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Agent for Service; Submission to Jurisdiction; Waiver of Immunities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Conversion of Currency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Currency Equivalent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Conflict with Trust Indenture Legislation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Incorporators, Shareholders, Officers and Directors of the Company Exempt from Individual Liability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6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2</w:t>
            </w:r>
          </w:p>
        </w:tc>
        <w:tc>
          <w:tcPr>
            <w:tcW w:w="60" w:type="dxa"/>
            <w:tcBorders/>
            <w:vAlign w:val="bottom"/>
          </w:tcPr>
          <w:p>
            <w:pPr>
              <w:pStyle w:val="TableContents"/>
              <w:bidi w:val="0"/>
              <w:spacing w:before="0" w:after="283"/>
              <w:jc w:val="left"/>
              <w:rPr/>
            </w:pPr>
            <w:r>
              <w:rPr/>
              <w:t> </w:t>
            </w:r>
          </w:p>
        </w:tc>
        <w:tc>
          <w:tcPr>
            <w:tcW w:w="9620" w:type="dxa"/>
            <w:tcBorders/>
          </w:tcPr>
          <w:p>
            <w:pPr>
              <w:pStyle w:val="TableContents"/>
              <w:bidi w:val="0"/>
              <w:spacing w:before="0" w:after="283"/>
              <w:jc w:val="left"/>
              <w:rPr/>
            </w:pPr>
            <w:r>
              <w:rPr/>
              <w:t>SECURITIES FORMS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Forms Generally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Form of Trustee’s Certificate of Authentication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Securities Issuable in Global Form</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96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ARTICLE 3</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THE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Amount Unlimited; Issuable in Series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Denominations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Execution, Authentication, Delivery and Dating</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Temporary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Registration, Registration of Transfer and Exchange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Mutilated, Destroyed, Lost and Stolen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Payment of Principal; Premium; Interest; Interest Rights Preserved; Optional Interest Reset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Optional Extension of Stated Maturity</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Persons Deemed Owners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Cancellation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Computation of Interest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60" w:type="dxa"/>
            <w:tcBorders/>
            <w:vAlign w:val="bottom"/>
          </w:tcPr>
          <w:p>
            <w:pPr>
              <w:pStyle w:val="TableContents"/>
              <w:bidi w:val="0"/>
              <w:spacing w:before="0" w:after="283"/>
              <w:jc w:val="left"/>
              <w:rPr/>
            </w:pPr>
            <w:r>
              <w:rPr/>
              <w:t> </w:t>
            </w:r>
          </w:p>
        </w:tc>
        <w:tc>
          <w:tcPr>
            <w:tcW w:w="9620" w:type="dxa"/>
            <w:tcBorders/>
            <w:vAlign w:val="bottom"/>
          </w:tcPr>
          <w:p>
            <w:pPr>
              <w:pStyle w:val="TableContents"/>
              <w:bidi w:val="0"/>
              <w:spacing w:before="0" w:after="283"/>
              <w:jc w:val="left"/>
              <w:rPr/>
            </w:pPr>
            <w:r>
              <w:rPr/>
              <w:t>Currency and Manner of Payments in Respect of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152"/>
        <w:gridCol w:w="77"/>
        <w:gridCol w:w="8461"/>
        <w:gridCol w:w="132"/>
        <w:gridCol w:w="60"/>
        <w:gridCol w:w="260"/>
        <w:gridCol w:w="63"/>
      </w:tblGrid>
      <w:tr>
        <w:trPr/>
        <w:tc>
          <w:tcPr>
            <w:tcW w:w="1152"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Appointment and Registration of Successor Exchange Rate Agent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1152" w:type="dxa"/>
            <w:tcBorders/>
            <w:vAlign w:val="center"/>
          </w:tcPr>
          <w:p>
            <w:pPr>
              <w:pStyle w:val="TableContents"/>
              <w:bidi w:val="0"/>
              <w:spacing w:before="0" w:after="283"/>
              <w:jc w:val="left"/>
              <w:rPr>
                <w:sz w:val="4"/>
                <w:szCs w:val="4"/>
              </w:rPr>
            </w:pPr>
            <w:r>
              <w:rPr>
                <w:sz w:val="4"/>
                <w:szCs w:val="4"/>
              </w:rPr>
            </w:r>
          </w:p>
        </w:tc>
        <w:tc>
          <w:tcPr>
            <w:tcW w:w="853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ARTICLE 4</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SATISFACTION AND DISCHARGE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Satisfaction and Discharge of Indenture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Application of Trust Money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1152" w:type="dxa"/>
            <w:tcBorders/>
            <w:vAlign w:val="center"/>
          </w:tcPr>
          <w:p>
            <w:pPr>
              <w:pStyle w:val="TableContents"/>
              <w:bidi w:val="0"/>
              <w:spacing w:before="0" w:after="283"/>
              <w:jc w:val="left"/>
              <w:rPr>
                <w:sz w:val="4"/>
                <w:szCs w:val="4"/>
              </w:rPr>
            </w:pPr>
            <w:r>
              <w:rPr>
                <w:sz w:val="4"/>
                <w:szCs w:val="4"/>
              </w:rPr>
            </w:r>
          </w:p>
        </w:tc>
        <w:tc>
          <w:tcPr>
            <w:tcW w:w="853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ARTICLE 5</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REMEDIES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Events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Acceleration of Maturity; Rescission and Annulment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Collection of Debt and Suits for Enforcement by Trustees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Trustees May File Proofs of Claim</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Trustees May Enforce Claims Without Possession of Securities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Application of Money Collected</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Limitation on Suits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Unconditional Right of Holders to Receive Principal, Premium and Interest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Restoration of Rights and Remedies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Rights and Remedies Cumulative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Delay or Omission Not Waiver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Control by 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Waiver of Past Defaults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Waiver of Stay or Extension Laws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Undertaking for Costs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rHeight w:val="120" w:hRule="atLeast"/>
        </w:trPr>
        <w:tc>
          <w:tcPr>
            <w:tcW w:w="1152" w:type="dxa"/>
            <w:tcBorders/>
            <w:vAlign w:val="center"/>
          </w:tcPr>
          <w:p>
            <w:pPr>
              <w:pStyle w:val="TableContents"/>
              <w:bidi w:val="0"/>
              <w:spacing w:before="0" w:after="283"/>
              <w:jc w:val="left"/>
              <w:rPr>
                <w:sz w:val="4"/>
                <w:szCs w:val="4"/>
              </w:rPr>
            </w:pPr>
            <w:r>
              <w:rPr>
                <w:sz w:val="4"/>
                <w:szCs w:val="4"/>
              </w:rPr>
            </w:r>
          </w:p>
        </w:tc>
        <w:tc>
          <w:tcPr>
            <w:tcW w:w="853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ARTICLE 6</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THE TRUSTEES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Notice of Defaults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Certain Duties and Responsibilities of Trustees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Certain Rights of Trustees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Trustees Not Responsible for Recitals or Issuance of Securities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May Hold Securities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Money Held in Trust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Compensation and Reimbursement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Corporate Trustees Required; Eligibility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Resignation and Removal; Appointment of Successor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Acceptance of Appointment by Successor</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Merger, Conversion, Consolidation or Successioon to Business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Appointment of Authenticating Agent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Joint Trustees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Other Rights of Trustees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152" w:type="dxa"/>
            <w:tcBorders/>
            <w:vAlign w:val="center"/>
          </w:tcPr>
          <w:p>
            <w:pPr>
              <w:pStyle w:val="TableContents"/>
              <w:bidi w:val="0"/>
              <w:spacing w:before="0" w:after="283"/>
              <w:jc w:val="left"/>
              <w:rPr>
                <w:sz w:val="4"/>
                <w:szCs w:val="4"/>
              </w:rPr>
            </w:pPr>
            <w:r>
              <w:rPr>
                <w:sz w:val="4"/>
                <w:szCs w:val="4"/>
              </w:rPr>
            </w:r>
          </w:p>
        </w:tc>
        <w:tc>
          <w:tcPr>
            <w:tcW w:w="853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ARTICLE 7</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HOLDERS’ LISTS AND REPORTS BY TRUSTEE AND COMPANY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Company to Furnish Trustee Names and Addresses of 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Preservation of List of Names and Addresses of 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1152"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77" w:type="dxa"/>
            <w:tcBorders/>
            <w:vAlign w:val="bottom"/>
          </w:tcPr>
          <w:p>
            <w:pPr>
              <w:pStyle w:val="TableContents"/>
              <w:bidi w:val="0"/>
              <w:spacing w:before="0" w:after="283"/>
              <w:jc w:val="left"/>
              <w:rPr/>
            </w:pPr>
            <w:r>
              <w:rPr/>
              <w:t> </w:t>
            </w:r>
          </w:p>
        </w:tc>
        <w:tc>
          <w:tcPr>
            <w:tcW w:w="8461" w:type="dxa"/>
            <w:tcBorders/>
            <w:vAlign w:val="bottom"/>
          </w:tcPr>
          <w:p>
            <w:pPr>
              <w:pStyle w:val="TableContents"/>
              <w:bidi w:val="0"/>
              <w:spacing w:before="0" w:after="283"/>
              <w:jc w:val="left"/>
              <w:rPr/>
            </w:pPr>
            <w:r>
              <w:rPr/>
              <w:t>Disclosure of Names and Addresses of Holders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222"/>
        <w:gridCol w:w="70"/>
        <w:gridCol w:w="8402"/>
        <w:gridCol w:w="127"/>
        <w:gridCol w:w="60"/>
        <w:gridCol w:w="260"/>
        <w:gridCol w:w="64"/>
      </w:tblGrid>
      <w:tr>
        <w:trPr/>
        <w:tc>
          <w:tcPr>
            <w:tcW w:w="1222"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840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Reports by Trustees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Reports by the Company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472"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ARTICLE 8</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CONSOLIDATION, MERGER, CONVEYANCE, TRANSFER OR LEASE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Company May Consolidate, etc. only on Certain Terms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Successor Person Substituted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472"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ARTICLE 9</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SUPPLEMENTAL INDENTURES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Supplemental Indentures Without Consent of Holders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Supplemental Indentures with Consent of Holders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Execution of Supplemental Indentures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Effect of Supplemental Indentures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Conformity with Trust Indenture Legislation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Reference in Securities to Supplemental Indentures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Notice of Supplemental Indentures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472"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ARTICLE 10</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Payment of Principal, Premium, if any, and Interest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Maintenance of Officer or Agency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Money for Securities Payments to Be Held in Trust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Statements as to Compliance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Additional Amounts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Payment of Taxes and Other Claims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Corporate Existence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SEC Reporting Obligations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Waiver of Certain Covenants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472"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ARTICLE 11</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REDEMPTION OF SECURITIES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Applicability of Article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Election to Redeem; Notice to Trustees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Selection by Trustees of Securities to Be Redeemed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Notice of Redemption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79</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Deposit of Redemption Price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Securities Payable on Redemption Date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Securities Redeemed in Part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Tax Redemption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4" w:type="dxa"/>
            <w:tcBorders/>
            <w:vAlign w:val="bottom"/>
          </w:tcPr>
          <w:p>
            <w:pPr>
              <w:pStyle w:val="TableContents"/>
              <w:bidi w:val="0"/>
              <w:spacing w:before="0" w:after="283"/>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472"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ARTICLE 12</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SINKING FUNDS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Applicability of Article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12.02</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Satisfaction of Sinking Fund Payments with Securities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Section 12.03</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Redemption of Securities for Sinking Fund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472"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ARTICLE 13</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[RESERVED]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rHeight w:val="120" w:hRule="atLeast"/>
        </w:trPr>
        <w:tc>
          <w:tcPr>
            <w:tcW w:w="1222" w:type="dxa"/>
            <w:tcBorders/>
            <w:vAlign w:val="center"/>
          </w:tcPr>
          <w:p>
            <w:pPr>
              <w:pStyle w:val="TableContents"/>
              <w:bidi w:val="0"/>
              <w:spacing w:before="0" w:after="283"/>
              <w:jc w:val="left"/>
              <w:rPr>
                <w:sz w:val="4"/>
                <w:szCs w:val="4"/>
              </w:rPr>
            </w:pPr>
            <w:r>
              <w:rPr>
                <w:sz w:val="4"/>
                <w:szCs w:val="4"/>
              </w:rPr>
            </w:r>
          </w:p>
        </w:tc>
        <w:tc>
          <w:tcPr>
            <w:tcW w:w="8472" w:type="dxa"/>
            <w:gridSpan w:val="2"/>
            <w:tcBorders/>
            <w:vAlign w:val="center"/>
          </w:tcPr>
          <w:p>
            <w:pPr>
              <w:pStyle w:val="TableContents"/>
              <w:bidi w:val="0"/>
              <w:spacing w:before="0" w:after="283"/>
              <w:jc w:val="left"/>
              <w:rPr>
                <w:sz w:val="4"/>
                <w:szCs w:val="4"/>
              </w:rPr>
            </w:pPr>
            <w:r>
              <w:rPr>
                <w:sz w:val="4"/>
                <w:szCs w:val="4"/>
              </w:rPr>
            </w:r>
          </w:p>
        </w:tc>
        <w:tc>
          <w:tcPr>
            <w:tcW w:w="511" w:type="dxa"/>
            <w:gridSpan w:val="4"/>
            <w:tcBorders/>
            <w:vAlign w:val="center"/>
          </w:tcPr>
          <w:p>
            <w:pPr>
              <w:pStyle w:val="TableContents"/>
              <w:bidi w:val="0"/>
              <w:spacing w:before="0" w:after="283"/>
              <w:jc w:val="left"/>
              <w:rPr>
                <w:sz w:val="4"/>
                <w:szCs w:val="4"/>
              </w:rPr>
            </w:pPr>
            <w:r>
              <w:rPr>
                <w:sz w:val="4"/>
                <w:szCs w:val="4"/>
              </w:rPr>
            </w:r>
          </w:p>
        </w:tc>
      </w:tr>
      <w:tr>
        <w:trPr/>
        <w:tc>
          <w:tcPr>
            <w:tcW w:w="1222" w:type="dxa"/>
            <w:tcBorders/>
          </w:tcPr>
          <w:p>
            <w:pPr>
              <w:pStyle w:val="TableContents"/>
              <w:bidi w:val="0"/>
              <w:spacing w:before="0" w:after="0"/>
              <w:jc w:val="left"/>
              <w:rPr>
                <w:rFonts w:ascii="Times New Roman" w:hAnsi="Times New Roman"/>
                <w:sz w:val="20"/>
              </w:rPr>
            </w:pPr>
            <w:r>
              <w:rPr>
                <w:rFonts w:ascii="Times New Roman" w:hAnsi="Times New Roman"/>
                <w:sz w:val="20"/>
              </w:rPr>
              <w:t>ARTICLE 14</w:t>
            </w:r>
          </w:p>
        </w:tc>
        <w:tc>
          <w:tcPr>
            <w:tcW w:w="70" w:type="dxa"/>
            <w:tcBorders/>
            <w:vAlign w:val="bottom"/>
          </w:tcPr>
          <w:p>
            <w:pPr>
              <w:pStyle w:val="TableContents"/>
              <w:bidi w:val="0"/>
              <w:spacing w:before="0" w:after="283"/>
              <w:jc w:val="left"/>
              <w:rPr/>
            </w:pPr>
            <w:r>
              <w:rPr/>
              <w:t> </w:t>
            </w:r>
          </w:p>
        </w:tc>
        <w:tc>
          <w:tcPr>
            <w:tcW w:w="8402" w:type="dxa"/>
            <w:tcBorders/>
            <w:vAlign w:val="bottom"/>
          </w:tcPr>
          <w:p>
            <w:pPr>
              <w:pStyle w:val="TableContents"/>
              <w:bidi w:val="0"/>
              <w:spacing w:before="0" w:after="283"/>
              <w:jc w:val="left"/>
              <w:rPr/>
            </w:pPr>
            <w:r>
              <w:rPr/>
              <w:t>DEFEASANCE AND COVENANT DEFEASANCE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1235" w:type="dxa"/>
        <w:jc w:val="center"/>
        <w:tblInd w:w="0" w:type="dxa"/>
        <w:tblLayout w:type="fixed"/>
        <w:tblCellMar>
          <w:top w:w="0" w:type="dxa"/>
          <w:left w:w="0" w:type="dxa"/>
          <w:bottom w:w="0" w:type="dxa"/>
          <w:right w:w="0" w:type="dxa"/>
        </w:tblCellMar>
      </w:tblPr>
      <w:tblGrid>
        <w:gridCol w:w="1145"/>
        <w:gridCol w:w="60"/>
        <w:gridCol w:w="9530"/>
        <w:gridCol w:w="120"/>
        <w:gridCol w:w="60"/>
        <w:gridCol w:w="260"/>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Company’s Option to Effect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Defeasance and Discharge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Conditions to Defeasance or Covenant Defeasance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Deposited Money and Government Obligations to Be Held in Trust; Other Miscellaneous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14.06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Reinstatement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rHeight w:val="120" w:hRule="atLeast"/>
        </w:trPr>
        <w:tc>
          <w:tcPr>
            <w:tcW w:w="1145" w:type="dxa"/>
            <w:tcBorders/>
            <w:vAlign w:val="center"/>
          </w:tcPr>
          <w:p>
            <w:pPr>
              <w:pStyle w:val="TableContents"/>
              <w:bidi w:val="0"/>
              <w:spacing w:before="0" w:after="283"/>
              <w:jc w:val="left"/>
              <w:rPr>
                <w:sz w:val="4"/>
                <w:szCs w:val="4"/>
              </w:rPr>
            </w:pPr>
            <w:r>
              <w:rPr>
                <w:sz w:val="4"/>
                <w:szCs w:val="4"/>
              </w:rPr>
            </w:r>
          </w:p>
        </w:tc>
        <w:tc>
          <w:tcPr>
            <w:tcW w:w="959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ARTICLE 15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MEETINGS OF HOLDERS OF SECURITIES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15.01</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Purposes for Which Meetings May Be Called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15.02</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Call, Notice and Place of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15.03</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Persons Entitled to Vote and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15.04</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Quorum; Action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15.05</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Determination of Voting Rights; Conduct and Adjournment of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15.06</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Counting Votes and Recording Action of Meetings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15.07</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15.08</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92</w:t>
            </w:r>
          </w:p>
        </w:tc>
        <w:tc>
          <w:tcPr>
            <w:tcW w:w="60" w:type="dxa"/>
            <w:tcBorders/>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Section 15.09</w:t>
            </w:r>
          </w:p>
        </w:tc>
        <w:tc>
          <w:tcPr>
            <w:tcW w:w="60" w:type="dxa"/>
            <w:tcBorders/>
            <w:vAlign w:val="bottom"/>
          </w:tcPr>
          <w:p>
            <w:pPr>
              <w:pStyle w:val="TableContents"/>
              <w:bidi w:val="0"/>
              <w:spacing w:before="0" w:after="283"/>
              <w:jc w:val="left"/>
              <w:rPr/>
            </w:pPr>
            <w:r>
              <w:rPr/>
              <w:t> </w:t>
            </w:r>
          </w:p>
        </w:tc>
        <w:tc>
          <w:tcPr>
            <w:tcW w:w="9530" w:type="dxa"/>
            <w:tcBorders/>
            <w:vAlign w:val="bottom"/>
          </w:tcPr>
          <w:p>
            <w:pPr>
              <w:pStyle w:val="TableContents"/>
              <w:bidi w:val="0"/>
              <w:spacing w:before="0" w:after="283"/>
              <w:jc w:val="left"/>
              <w:rPr/>
            </w:pPr>
            <w:r>
              <w:rPr/>
              <w:t>Force Majeure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CROSS-REFERENCE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43"/>
        <w:gridCol w:w="102"/>
        <w:gridCol w:w="5612"/>
        <w:gridCol w:w="102"/>
        <w:gridCol w:w="2246"/>
      </w:tblGrid>
      <w:tr>
        <w:trPr/>
        <w:tc>
          <w:tcPr>
            <w:tcW w:w="214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6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r>
      <w:tr>
        <w:trPr/>
        <w:tc>
          <w:tcPr>
            <w:tcW w:w="214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TIA Section</w:t>
            </w:r>
          </w:p>
        </w:tc>
        <w:tc>
          <w:tcPr>
            <w:tcW w:w="102" w:type="dxa"/>
            <w:tcBorders/>
            <w:vAlign w:val="bottom"/>
          </w:tcPr>
          <w:p>
            <w:pPr>
              <w:pStyle w:val="TableContents"/>
              <w:bidi w:val="0"/>
              <w:spacing w:before="0" w:after="283"/>
              <w:jc w:val="left"/>
              <w:rPr/>
            </w:pPr>
            <w:r>
              <w:rPr/>
              <w:t> </w:t>
            </w:r>
          </w:p>
        </w:tc>
        <w:tc>
          <w:tcPr>
            <w:tcW w:w="561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24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Indenture Section</w:t>
            </w:r>
          </w:p>
        </w:tc>
      </w:tr>
      <w:tr>
        <w:trPr/>
        <w:tc>
          <w:tcPr>
            <w:tcW w:w="2143" w:type="dxa"/>
            <w:tcBorders/>
          </w:tcPr>
          <w:p>
            <w:pPr>
              <w:pStyle w:val="TableContents"/>
              <w:bidi w:val="0"/>
              <w:spacing w:before="0" w:after="283"/>
              <w:jc w:val="center"/>
              <w:rPr/>
            </w:pPr>
            <w:r>
              <w:rPr/>
              <w:t>310 (a)</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6.08(a)</w:t>
            </w:r>
          </w:p>
        </w:tc>
      </w:tr>
      <w:tr>
        <w:trPr/>
        <w:tc>
          <w:tcPr>
            <w:tcW w:w="2143" w:type="dxa"/>
            <w:tcBorders/>
          </w:tcPr>
          <w:p>
            <w:pPr>
              <w:pStyle w:val="TableContents"/>
              <w:bidi w:val="0"/>
              <w:spacing w:before="0" w:after="283"/>
              <w:jc w:val="center"/>
              <w:rPr/>
            </w:pPr>
            <w:r>
              <w:rPr/>
              <w:t>(b)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6.09</w:t>
            </w:r>
          </w:p>
        </w:tc>
      </w:tr>
      <w:tr>
        <w:trPr/>
        <w:tc>
          <w:tcPr>
            <w:tcW w:w="2143" w:type="dxa"/>
            <w:tcBorders/>
          </w:tcPr>
          <w:p>
            <w:pPr>
              <w:pStyle w:val="TableContents"/>
              <w:bidi w:val="0"/>
              <w:spacing w:before="0" w:after="283"/>
              <w:jc w:val="center"/>
              <w:rPr/>
            </w:pPr>
            <w:r>
              <w:rPr/>
              <w:t>(c)</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Not Applicable</w:t>
            </w:r>
          </w:p>
        </w:tc>
      </w:tr>
      <w:tr>
        <w:trPr/>
        <w:tc>
          <w:tcPr>
            <w:tcW w:w="2143" w:type="dxa"/>
            <w:tcBorders/>
          </w:tcPr>
          <w:p>
            <w:pPr>
              <w:pStyle w:val="TableContents"/>
              <w:bidi w:val="0"/>
              <w:spacing w:before="0" w:after="283"/>
              <w:jc w:val="center"/>
              <w:rPr/>
            </w:pPr>
            <w:r>
              <w:rPr/>
              <w:t>311 (a)</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6.05</w:t>
            </w:r>
          </w:p>
        </w:tc>
      </w:tr>
      <w:tr>
        <w:trPr/>
        <w:tc>
          <w:tcPr>
            <w:tcW w:w="2143" w:type="dxa"/>
            <w:tcBorders/>
          </w:tcPr>
          <w:p>
            <w:pPr>
              <w:pStyle w:val="TableContents"/>
              <w:bidi w:val="0"/>
              <w:spacing w:before="0" w:after="283"/>
              <w:jc w:val="center"/>
              <w:rPr/>
            </w:pPr>
            <w:r>
              <w:rPr/>
              <w:t>(b)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6.05</w:t>
            </w:r>
          </w:p>
        </w:tc>
      </w:tr>
      <w:tr>
        <w:trPr/>
        <w:tc>
          <w:tcPr>
            <w:tcW w:w="2143" w:type="dxa"/>
            <w:tcBorders/>
          </w:tcPr>
          <w:p>
            <w:pPr>
              <w:pStyle w:val="TableContents"/>
              <w:bidi w:val="0"/>
              <w:spacing w:before="0" w:after="283"/>
              <w:jc w:val="center"/>
              <w:rPr/>
            </w:pPr>
            <w:r>
              <w:rPr/>
              <w:t>(c)</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Not Applicable</w:t>
            </w:r>
          </w:p>
        </w:tc>
      </w:tr>
      <w:tr>
        <w:trPr/>
        <w:tc>
          <w:tcPr>
            <w:tcW w:w="2143" w:type="dxa"/>
            <w:tcBorders/>
          </w:tcPr>
          <w:p>
            <w:pPr>
              <w:pStyle w:val="TableContents"/>
              <w:bidi w:val="0"/>
              <w:spacing w:before="0" w:after="283"/>
              <w:jc w:val="center"/>
              <w:rPr/>
            </w:pPr>
            <w:r>
              <w:rPr/>
              <w:t>312 (a)</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7.05</w:t>
            </w:r>
          </w:p>
        </w:tc>
      </w:tr>
      <w:tr>
        <w:trPr/>
        <w:tc>
          <w:tcPr>
            <w:tcW w:w="2143" w:type="dxa"/>
            <w:tcBorders/>
          </w:tcPr>
          <w:p>
            <w:pPr>
              <w:pStyle w:val="TableContents"/>
              <w:bidi w:val="0"/>
              <w:spacing w:before="0" w:after="283"/>
              <w:jc w:val="center"/>
              <w:rPr/>
            </w:pPr>
            <w:r>
              <w:rPr/>
              <w:t>(b)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7.03</w:t>
            </w:r>
          </w:p>
        </w:tc>
      </w:tr>
      <w:tr>
        <w:trPr/>
        <w:tc>
          <w:tcPr>
            <w:tcW w:w="2143" w:type="dxa"/>
            <w:tcBorders/>
          </w:tcPr>
          <w:p>
            <w:pPr>
              <w:pStyle w:val="TableContents"/>
              <w:bidi w:val="0"/>
              <w:spacing w:before="0" w:after="283"/>
              <w:jc w:val="center"/>
              <w:rPr/>
            </w:pPr>
            <w:r>
              <w:rPr/>
              <w:t>(c)</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7.03</w:t>
            </w:r>
          </w:p>
        </w:tc>
      </w:tr>
      <w:tr>
        <w:trPr/>
        <w:tc>
          <w:tcPr>
            <w:tcW w:w="2143" w:type="dxa"/>
            <w:tcBorders/>
          </w:tcPr>
          <w:p>
            <w:pPr>
              <w:pStyle w:val="TableContents"/>
              <w:bidi w:val="0"/>
              <w:spacing w:before="0" w:after="283"/>
              <w:jc w:val="center"/>
              <w:rPr/>
            </w:pPr>
            <w:r>
              <w:rPr/>
              <w:t>313 (a)</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7.04</w:t>
            </w:r>
          </w:p>
        </w:tc>
      </w:tr>
      <w:tr>
        <w:trPr/>
        <w:tc>
          <w:tcPr>
            <w:tcW w:w="2143" w:type="dxa"/>
            <w:tcBorders/>
          </w:tcPr>
          <w:p>
            <w:pPr>
              <w:pStyle w:val="TableContents"/>
              <w:bidi w:val="0"/>
              <w:spacing w:before="0" w:after="283"/>
              <w:jc w:val="center"/>
              <w:rPr/>
            </w:pPr>
            <w:r>
              <w:rPr/>
              <w:t>(b)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7.04</w:t>
            </w:r>
          </w:p>
        </w:tc>
      </w:tr>
      <w:tr>
        <w:trPr/>
        <w:tc>
          <w:tcPr>
            <w:tcW w:w="2143" w:type="dxa"/>
            <w:tcBorders/>
          </w:tcPr>
          <w:p>
            <w:pPr>
              <w:pStyle w:val="TableContents"/>
              <w:bidi w:val="0"/>
              <w:spacing w:before="0" w:after="283"/>
              <w:jc w:val="center"/>
              <w:rPr/>
            </w:pPr>
            <w:r>
              <w:rPr/>
              <w:t>(c)</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7.04</w:t>
            </w:r>
          </w:p>
        </w:tc>
      </w:tr>
      <w:tr>
        <w:trPr/>
        <w:tc>
          <w:tcPr>
            <w:tcW w:w="2143" w:type="dxa"/>
            <w:tcBorders/>
          </w:tcPr>
          <w:p>
            <w:pPr>
              <w:pStyle w:val="TableContents"/>
              <w:bidi w:val="0"/>
              <w:spacing w:before="0" w:after="283"/>
              <w:jc w:val="center"/>
              <w:rPr/>
            </w:pPr>
            <w:r>
              <w:rPr/>
              <w:t>(d)</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7.05</w:t>
            </w:r>
          </w:p>
        </w:tc>
      </w:tr>
      <w:tr>
        <w:trPr/>
        <w:tc>
          <w:tcPr>
            <w:tcW w:w="2143" w:type="dxa"/>
            <w:tcBorders/>
          </w:tcPr>
          <w:p>
            <w:pPr>
              <w:pStyle w:val="TableContents"/>
              <w:bidi w:val="0"/>
              <w:spacing w:before="0" w:after="283"/>
              <w:jc w:val="center"/>
              <w:rPr/>
            </w:pPr>
            <w:r>
              <w:rPr/>
              <w:t>314 (a)</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7.05</w:t>
            </w:r>
          </w:p>
        </w:tc>
      </w:tr>
      <w:tr>
        <w:trPr/>
        <w:tc>
          <w:tcPr>
            <w:tcW w:w="2143" w:type="dxa"/>
            <w:tcBorders/>
          </w:tcPr>
          <w:p>
            <w:pPr>
              <w:pStyle w:val="TableContents"/>
              <w:bidi w:val="0"/>
              <w:spacing w:before="0" w:after="283"/>
              <w:jc w:val="center"/>
              <w:rPr/>
            </w:pPr>
            <w:r>
              <w:rPr/>
              <w:t>(a)(4)</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10.04</w:t>
            </w:r>
          </w:p>
        </w:tc>
      </w:tr>
      <w:tr>
        <w:trPr/>
        <w:tc>
          <w:tcPr>
            <w:tcW w:w="2143" w:type="dxa"/>
            <w:tcBorders/>
          </w:tcPr>
          <w:p>
            <w:pPr>
              <w:pStyle w:val="TableContents"/>
              <w:bidi w:val="0"/>
              <w:spacing w:before="0" w:after="283"/>
              <w:jc w:val="center"/>
              <w:rPr/>
            </w:pPr>
            <w:r>
              <w:rPr/>
              <w:t>(b)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Not Applicable</w:t>
            </w:r>
          </w:p>
        </w:tc>
      </w:tr>
      <w:tr>
        <w:trPr/>
        <w:tc>
          <w:tcPr>
            <w:tcW w:w="2143" w:type="dxa"/>
            <w:tcBorders/>
          </w:tcPr>
          <w:p>
            <w:pPr>
              <w:pStyle w:val="TableContents"/>
              <w:bidi w:val="0"/>
              <w:spacing w:before="0" w:after="283"/>
              <w:jc w:val="center"/>
              <w:rPr/>
            </w:pPr>
            <w:r>
              <w:rPr/>
              <w:t>(c)(1)</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1.02</w:t>
            </w:r>
          </w:p>
        </w:tc>
      </w:tr>
      <w:tr>
        <w:trPr/>
        <w:tc>
          <w:tcPr>
            <w:tcW w:w="2143" w:type="dxa"/>
            <w:tcBorders/>
          </w:tcPr>
          <w:p>
            <w:pPr>
              <w:pStyle w:val="TableContents"/>
              <w:bidi w:val="0"/>
              <w:spacing w:before="0" w:after="283"/>
              <w:jc w:val="center"/>
              <w:rPr/>
            </w:pPr>
            <w:r>
              <w:rPr/>
              <w:t>(c)(2)</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1.02</w:t>
            </w:r>
          </w:p>
        </w:tc>
      </w:tr>
      <w:tr>
        <w:trPr/>
        <w:tc>
          <w:tcPr>
            <w:tcW w:w="2143" w:type="dxa"/>
            <w:tcBorders/>
          </w:tcPr>
          <w:p>
            <w:pPr>
              <w:pStyle w:val="TableContents"/>
              <w:bidi w:val="0"/>
              <w:spacing w:before="0" w:after="283"/>
              <w:jc w:val="center"/>
              <w:rPr/>
            </w:pPr>
            <w:r>
              <w:rPr/>
              <w:t>(d)</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Not Applicable</w:t>
            </w:r>
          </w:p>
        </w:tc>
      </w:tr>
      <w:tr>
        <w:trPr/>
        <w:tc>
          <w:tcPr>
            <w:tcW w:w="2143" w:type="dxa"/>
            <w:tcBorders/>
          </w:tcPr>
          <w:p>
            <w:pPr>
              <w:pStyle w:val="TableContents"/>
              <w:bidi w:val="0"/>
              <w:spacing w:before="0" w:after="283"/>
              <w:jc w:val="center"/>
              <w:rPr/>
            </w:pPr>
            <w:r>
              <w:rPr/>
              <w:t>(e)</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1.02</w:t>
            </w:r>
          </w:p>
        </w:tc>
      </w:tr>
      <w:tr>
        <w:trPr/>
        <w:tc>
          <w:tcPr>
            <w:tcW w:w="2143" w:type="dxa"/>
            <w:tcBorders/>
          </w:tcPr>
          <w:p>
            <w:pPr>
              <w:pStyle w:val="TableContents"/>
              <w:bidi w:val="0"/>
              <w:spacing w:before="0" w:after="283"/>
              <w:jc w:val="center"/>
              <w:rPr/>
            </w:pPr>
            <w:r>
              <w:rPr/>
              <w:t>(f)</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Not Applicable</w:t>
            </w:r>
          </w:p>
        </w:tc>
      </w:tr>
      <w:tr>
        <w:trPr/>
        <w:tc>
          <w:tcPr>
            <w:tcW w:w="2143" w:type="dxa"/>
            <w:tcBorders/>
          </w:tcPr>
          <w:p>
            <w:pPr>
              <w:pStyle w:val="TableContents"/>
              <w:bidi w:val="0"/>
              <w:spacing w:before="0" w:after="283"/>
              <w:jc w:val="center"/>
              <w:rPr/>
            </w:pPr>
            <w:r>
              <w:rPr/>
              <w:t>315 (a)</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6.02</w:t>
            </w:r>
          </w:p>
        </w:tc>
      </w:tr>
      <w:tr>
        <w:trPr/>
        <w:tc>
          <w:tcPr>
            <w:tcW w:w="2143" w:type="dxa"/>
            <w:tcBorders/>
          </w:tcPr>
          <w:p>
            <w:pPr>
              <w:pStyle w:val="TableContents"/>
              <w:bidi w:val="0"/>
              <w:spacing w:before="0" w:after="283"/>
              <w:jc w:val="center"/>
              <w:rPr/>
            </w:pPr>
            <w:r>
              <w:rPr/>
              <w:t>(b)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6.01</w:t>
            </w:r>
          </w:p>
        </w:tc>
      </w:tr>
      <w:tr>
        <w:trPr/>
        <w:tc>
          <w:tcPr>
            <w:tcW w:w="2143" w:type="dxa"/>
            <w:tcBorders/>
          </w:tcPr>
          <w:p>
            <w:pPr>
              <w:pStyle w:val="TableContents"/>
              <w:bidi w:val="0"/>
              <w:spacing w:before="0" w:after="283"/>
              <w:jc w:val="center"/>
              <w:rPr/>
            </w:pPr>
            <w:r>
              <w:rPr/>
              <w:t>(c)</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6.02</w:t>
            </w:r>
          </w:p>
        </w:tc>
      </w:tr>
      <w:tr>
        <w:trPr/>
        <w:tc>
          <w:tcPr>
            <w:tcW w:w="2143" w:type="dxa"/>
            <w:tcBorders/>
          </w:tcPr>
          <w:p>
            <w:pPr>
              <w:pStyle w:val="TableContents"/>
              <w:bidi w:val="0"/>
              <w:spacing w:before="0" w:after="283"/>
              <w:jc w:val="center"/>
              <w:rPr/>
            </w:pPr>
            <w:r>
              <w:rPr/>
              <w:t>(d)</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6.02</w:t>
            </w:r>
          </w:p>
        </w:tc>
      </w:tr>
      <w:tr>
        <w:trPr/>
        <w:tc>
          <w:tcPr>
            <w:tcW w:w="2143" w:type="dxa"/>
            <w:tcBorders/>
          </w:tcPr>
          <w:p>
            <w:pPr>
              <w:pStyle w:val="TableContents"/>
              <w:bidi w:val="0"/>
              <w:spacing w:before="0" w:after="283"/>
              <w:jc w:val="center"/>
              <w:rPr/>
            </w:pPr>
            <w:r>
              <w:rPr/>
              <w:t>(e)</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5.15</w:t>
            </w:r>
          </w:p>
        </w:tc>
      </w:tr>
      <w:tr>
        <w:trPr/>
        <w:tc>
          <w:tcPr>
            <w:tcW w:w="2143" w:type="dxa"/>
            <w:tcBorders/>
          </w:tcPr>
          <w:p>
            <w:pPr>
              <w:pStyle w:val="TableContents"/>
              <w:bidi w:val="0"/>
              <w:spacing w:before="0" w:after="283"/>
              <w:jc w:val="center"/>
              <w:rPr/>
            </w:pPr>
            <w:r>
              <w:rPr/>
              <w:t>316 (a)(last sentence)</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1.01 (“Outstanding”)</w:t>
            </w:r>
          </w:p>
        </w:tc>
      </w:tr>
      <w:tr>
        <w:trPr/>
        <w:tc>
          <w:tcPr>
            <w:tcW w:w="2143" w:type="dxa"/>
            <w:tcBorders/>
          </w:tcPr>
          <w:p>
            <w:pPr>
              <w:pStyle w:val="TableContents"/>
              <w:bidi w:val="0"/>
              <w:spacing w:before="0" w:after="283"/>
              <w:jc w:val="center"/>
              <w:rPr/>
            </w:pPr>
            <w:r>
              <w:rPr/>
              <w:t>(a)(1)(A)</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5.12</w:t>
            </w:r>
          </w:p>
        </w:tc>
      </w:tr>
      <w:tr>
        <w:trPr/>
        <w:tc>
          <w:tcPr>
            <w:tcW w:w="2143" w:type="dxa"/>
            <w:tcBorders/>
          </w:tcPr>
          <w:p>
            <w:pPr>
              <w:pStyle w:val="TableContents"/>
              <w:bidi w:val="0"/>
              <w:spacing w:before="0" w:after="283"/>
              <w:jc w:val="center"/>
              <w:rPr/>
            </w:pPr>
            <w:r>
              <w:rPr/>
              <w:t>(a)(1)(B)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5.02, 5.13</w:t>
            </w:r>
          </w:p>
        </w:tc>
      </w:tr>
      <w:tr>
        <w:trPr/>
        <w:tc>
          <w:tcPr>
            <w:tcW w:w="2143" w:type="dxa"/>
            <w:tcBorders/>
          </w:tcPr>
          <w:p>
            <w:pPr>
              <w:pStyle w:val="TableContents"/>
              <w:bidi w:val="0"/>
              <w:spacing w:before="0" w:after="283"/>
              <w:jc w:val="center"/>
              <w:rPr/>
            </w:pPr>
            <w:r>
              <w:rPr/>
              <w:t>(a)(2)</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Not Applicable</w:t>
            </w:r>
          </w:p>
        </w:tc>
      </w:tr>
      <w:tr>
        <w:trPr/>
        <w:tc>
          <w:tcPr>
            <w:tcW w:w="2143" w:type="dxa"/>
            <w:tcBorders/>
          </w:tcPr>
          <w:p>
            <w:pPr>
              <w:pStyle w:val="TableContents"/>
              <w:bidi w:val="0"/>
              <w:spacing w:before="0" w:after="283"/>
              <w:jc w:val="center"/>
              <w:rPr/>
            </w:pPr>
            <w:r>
              <w:rPr/>
              <w:t>(b)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5.08</w:t>
            </w:r>
          </w:p>
        </w:tc>
      </w:tr>
      <w:tr>
        <w:trPr/>
        <w:tc>
          <w:tcPr>
            <w:tcW w:w="2143" w:type="dxa"/>
            <w:tcBorders/>
          </w:tcPr>
          <w:p>
            <w:pPr>
              <w:pStyle w:val="TableContents"/>
              <w:bidi w:val="0"/>
              <w:spacing w:before="0" w:after="283"/>
              <w:jc w:val="center"/>
              <w:rPr/>
            </w:pPr>
            <w:r>
              <w:rPr/>
              <w:t>(c)</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1.04(e)</w:t>
            </w:r>
          </w:p>
        </w:tc>
      </w:tr>
      <w:tr>
        <w:trPr/>
        <w:tc>
          <w:tcPr>
            <w:tcW w:w="2143" w:type="dxa"/>
            <w:tcBorders/>
          </w:tcPr>
          <w:p>
            <w:pPr>
              <w:pStyle w:val="TableContents"/>
              <w:bidi w:val="0"/>
              <w:spacing w:before="0" w:after="283"/>
              <w:jc w:val="center"/>
              <w:rPr/>
            </w:pPr>
            <w:r>
              <w:rPr/>
              <w:t>317 (a)(1)</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5.03</w:t>
            </w:r>
          </w:p>
        </w:tc>
      </w:tr>
      <w:tr>
        <w:trPr/>
        <w:tc>
          <w:tcPr>
            <w:tcW w:w="2143" w:type="dxa"/>
            <w:tcBorders/>
          </w:tcPr>
          <w:p>
            <w:pPr>
              <w:pStyle w:val="TableContents"/>
              <w:bidi w:val="0"/>
              <w:spacing w:before="0" w:after="283"/>
              <w:jc w:val="center"/>
              <w:rPr/>
            </w:pPr>
            <w:r>
              <w:rPr/>
              <w:t>(a)(2)</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5.04</w:t>
            </w:r>
          </w:p>
        </w:tc>
      </w:tr>
      <w:tr>
        <w:trPr/>
        <w:tc>
          <w:tcPr>
            <w:tcW w:w="2143" w:type="dxa"/>
            <w:tcBorders/>
          </w:tcPr>
          <w:p>
            <w:pPr>
              <w:pStyle w:val="TableContents"/>
              <w:bidi w:val="0"/>
              <w:spacing w:before="0" w:after="283"/>
              <w:jc w:val="center"/>
              <w:rPr/>
            </w:pPr>
            <w:r>
              <w:rPr/>
              <w:t>(b)</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10.03</w:t>
            </w:r>
          </w:p>
        </w:tc>
      </w:tr>
      <w:tr>
        <w:trPr/>
        <w:tc>
          <w:tcPr>
            <w:tcW w:w="2143" w:type="dxa"/>
            <w:tcBorders/>
          </w:tcPr>
          <w:p>
            <w:pPr>
              <w:pStyle w:val="TableContents"/>
              <w:bidi w:val="0"/>
              <w:spacing w:before="0" w:after="283"/>
              <w:jc w:val="center"/>
              <w:rPr/>
            </w:pPr>
            <w:r>
              <w:rPr/>
              <w:t>318 (a)</w:t>
            </w:r>
          </w:p>
        </w:tc>
        <w:tc>
          <w:tcPr>
            <w:tcW w:w="102" w:type="dxa"/>
            <w:tcBorders/>
            <w:vAlign w:val="bottom"/>
          </w:tcPr>
          <w:p>
            <w:pPr>
              <w:pStyle w:val="TableContents"/>
              <w:bidi w:val="0"/>
              <w:spacing w:before="0" w:after="283"/>
              <w:jc w:val="left"/>
              <w:rPr/>
            </w:pPr>
            <w:r>
              <w:rPr/>
              <w:t> </w:t>
            </w:r>
          </w:p>
        </w:tc>
        <w:tc>
          <w:tcPr>
            <w:tcW w:w="5612"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pPr>
            <w:r>
              <w:rPr/>
              <w:t>1.16</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This Cross-Reference Table shall not, for any purpose, be deemed to be part of this Indenture.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dated as of [] between EUPRAXIA PHARMACEUTICALS INC., a corporation duly incorporated and existing under the laws of the Province of British Columbia (herein called the “Company”), having its principal executive offices at 2198 Yukon Street, Vancouver, BC, V5Y 3P1 and [], a [] existing under the laws of [], as U.S. trustee (herein called the “U.S. Trustee”), and [], a trust company duly organized and existing under the laws of [], as Canadian trustee (the “Canadian Trustee” and, together with the U.S. Trustee, the “Trustees”). </w:t>
      </w:r>
    </w:p>
    <w:p>
      <w:pPr>
        <w:pStyle w:val="TextBody"/>
        <w:bidi w:val="0"/>
        <w:spacing w:before="240" w:after="0"/>
        <w:jc w:val="center"/>
        <w:rPr>
          <w:rFonts w:ascii="Times New Roman" w:hAnsi="Times New Roman"/>
          <w:sz w:val="20"/>
        </w:rPr>
      </w:pPr>
      <w:r>
        <w:rPr>
          <w:rFonts w:ascii="Times New Roman" w:hAnsi="Times New Roman"/>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duly authorized the execution and delivery of this Indenture to provide for the issuance from time to time of its unsecured debentures, notes or other evidences of indebtedness (herein called the “Securities”), which may be convertible into or exchangeable for any securities of any person (including the Company), to be issued in one or more series as in this Indenture provided.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is subject to the provisions of Trust Indenture Legislation (as defined below) that are required to be part of this Indenture and shall, to the extent applicable, be governed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premises and the purchase of the Securities by the Holders (as defined below) thereof, it is mutually covenanted and agreed, for the equal and proportionate benefit of all Holders of the Securities or of series thereof,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Definitions. </w:t>
      </w:r>
    </w:p>
    <w:p>
      <w:pPr>
        <w:pStyle w:val="TextBody"/>
        <w:bidi w:val="0"/>
        <w:spacing w:before="120" w:after="0"/>
        <w:jc w:val="left"/>
        <w:rPr>
          <w:rFonts w:ascii="Times New Roman" w:hAnsi="Times New Roman"/>
          <w:sz w:val="20"/>
        </w:rPr>
      </w:pPr>
      <w:r>
        <w:rPr>
          <w:rFonts w:ascii="Times New Roman" w:hAnsi="Times New Roman"/>
          <w:sz w:val="20"/>
        </w:rPr>
        <w:t xml:space="preserve">For all purposes of this Indenture, except as otherwise expressly provided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(i) the terms defined in this Article have the meanings assigned to them in this Article and include the plural as well as the singular; </w:t>
      </w:r>
    </w:p>
    <w:p>
      <w:pPr>
        <w:pStyle w:val="TextBody"/>
        <w:bidi w:val="0"/>
        <w:spacing w:before="120" w:after="0"/>
        <w:jc w:val="left"/>
        <w:rPr>
          <w:rFonts w:ascii="Times New Roman" w:hAnsi="Times New Roman"/>
          <w:sz w:val="20"/>
        </w:rPr>
      </w:pPr>
      <w:r>
        <w:rPr>
          <w:rFonts w:ascii="Times New Roman" w:hAnsi="Times New Roman"/>
          <w:sz w:val="20"/>
        </w:rPr>
        <w:t xml:space="preserve">(ii) all other terms used herein which are defined in the Trust Indenture Act, either directly or by reference therein, have the meanings assigned to them therein, and the terms “cash transaction” and “self-liquidating paper”, as used in Section 319 of the Trust Indenture Act, shall have the meanings assigned to them in the rules of the Commission adopted under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(iii) all accounting terms not otherwise defined herein have the meanings assigned to them in accordance with United States generally accepted accounting principles, and, except as otherwise herein expressly provided, the term “generally accepted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any computation required or permitted hereunder shall mean such accounting principles as are generally accepted in the United States at the date of such computation; </w:t>
      </w:r>
    </w:p>
    <w:p>
      <w:pPr>
        <w:pStyle w:val="TextBody"/>
        <w:bidi w:val="0"/>
        <w:spacing w:before="120" w:after="0"/>
        <w:jc w:val="left"/>
        <w:rPr>
          <w:rFonts w:ascii="Times New Roman" w:hAnsi="Times New Roman"/>
          <w:sz w:val="20"/>
        </w:rPr>
      </w:pPr>
      <w:r>
        <w:rPr>
          <w:rFonts w:ascii="Times New Roman" w:hAnsi="Times New Roman"/>
          <w:sz w:val="20"/>
        </w:rPr>
        <w:t xml:space="preserve">(iv) the words “herein”, “hereof” and “hereunder” and other words of similar import refer to this Indenture as a whole and not to any particular Article, Section or other subdivision; </w:t>
      </w:r>
    </w:p>
    <w:p>
      <w:pPr>
        <w:pStyle w:val="TextBody"/>
        <w:bidi w:val="0"/>
        <w:spacing w:before="120" w:after="0"/>
        <w:jc w:val="left"/>
        <w:rPr>
          <w:rFonts w:ascii="Times New Roman" w:hAnsi="Times New Roman"/>
          <w:sz w:val="20"/>
        </w:rPr>
      </w:pPr>
      <w:r>
        <w:rPr>
          <w:rFonts w:ascii="Times New Roman" w:hAnsi="Times New Roman"/>
          <w:sz w:val="20"/>
        </w:rPr>
        <w:t xml:space="preserve">(v)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(vi) words implying any gender shall apply to all genders; and </w:t>
      </w:r>
    </w:p>
    <w:p>
      <w:pPr>
        <w:pStyle w:val="TextBody"/>
        <w:bidi w:val="0"/>
        <w:spacing w:before="120" w:after="0"/>
        <w:jc w:val="left"/>
        <w:rPr>
          <w:rFonts w:ascii="Times New Roman" w:hAnsi="Times New Roman"/>
          <w:sz w:val="20"/>
        </w:rPr>
      </w:pPr>
      <w:r>
        <w:rPr>
          <w:rFonts w:ascii="Times New Roman" w:hAnsi="Times New Roman"/>
          <w:sz w:val="20"/>
        </w:rPr>
        <w:t xml:space="preserve">(vii) the words Subsection, Section and Article refer to the Subsections, Sections and Articles, respectively, of this Indenture unless otherwise noted.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principally in Article Three, are defined in that Article. </w:t>
      </w:r>
    </w:p>
    <w:p>
      <w:pPr>
        <w:pStyle w:val="TextBody"/>
        <w:bidi w:val="0"/>
        <w:spacing w:before="240" w:after="0"/>
        <w:jc w:val="left"/>
        <w:rPr/>
      </w:pPr>
      <w:r>
        <w:rPr/>
        <w:t>“</w:t>
      </w:r>
      <w:r>
        <w:rPr>
          <w:rFonts w:ascii="Times New Roman" w:hAnsi="Times New Roman"/>
          <w:sz w:val="20"/>
        </w:rPr>
        <w:t xml:space="preserve">accelerated indebtedness” has the meaning specified in Section 5.01. </w:t>
      </w:r>
    </w:p>
    <w:p>
      <w:pPr>
        <w:pStyle w:val="TextBody"/>
        <w:bidi w:val="0"/>
        <w:spacing w:before="240" w:after="0"/>
        <w:jc w:val="left"/>
        <w:rPr/>
      </w:pPr>
      <w:r>
        <w:rPr/>
        <w:t>“</w:t>
      </w:r>
      <w:r>
        <w:rPr>
          <w:rFonts w:ascii="Times New Roman" w:hAnsi="Times New Roman"/>
          <w:sz w:val="20"/>
        </w:rPr>
        <w:t xml:space="preserve">Act”, when used with respect to any Holder, has the meaning specified in Section 1.04. </w:t>
      </w:r>
    </w:p>
    <w:p>
      <w:pPr>
        <w:pStyle w:val="TextBody"/>
        <w:bidi w:val="0"/>
        <w:spacing w:before="240" w:after="0"/>
        <w:jc w:val="left"/>
        <w:rPr/>
      </w:pPr>
      <w:r>
        <w:rPr/>
        <w:t>“</w:t>
      </w:r>
      <w:r>
        <w:rPr>
          <w:rFonts w:ascii="Times New Roman" w:hAnsi="Times New Roman"/>
          <w:sz w:val="20"/>
        </w:rPr>
        <w:t xml:space="preserve">Additional Amounts” has the meaning specified in Section 10.05. </w:t>
      </w:r>
    </w:p>
    <w:p>
      <w:pPr>
        <w:pStyle w:val="TextBody"/>
        <w:bidi w:val="0"/>
        <w:spacing w:before="240" w:after="0"/>
        <w:jc w:val="left"/>
        <w:rPr/>
      </w:pPr>
      <w:r>
        <w:rPr/>
        <w:t>“</w:t>
      </w:r>
      <w:r>
        <w:rPr>
          <w:rFonts w:ascii="Times New Roman" w:hAnsi="Times New Roman"/>
          <w:sz w:val="20"/>
        </w:rPr>
        <w:t xml:space="preserve">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pPr>
      <w:r>
        <w:rPr/>
        <w:t>“</w:t>
      </w:r>
      <w:r>
        <w:rPr>
          <w:rFonts w:ascii="Times New Roman" w:hAnsi="Times New Roman"/>
          <w:sz w:val="20"/>
        </w:rPr>
        <w:t xml:space="preserve">Appropriate Trustee” means, with respect to the Canadian Securities, the Canadian Trustee, and with respect to the U.S. Securities, the U.S. Trustee. </w:t>
      </w:r>
    </w:p>
    <w:p>
      <w:pPr>
        <w:pStyle w:val="TextBody"/>
        <w:bidi w:val="0"/>
        <w:spacing w:before="240" w:after="0"/>
        <w:jc w:val="left"/>
        <w:rPr/>
      </w:pPr>
      <w:r>
        <w:rPr/>
        <w:t>“</w:t>
      </w:r>
      <w:r>
        <w:rPr>
          <w:rFonts w:ascii="Times New Roman" w:hAnsi="Times New Roman"/>
          <w:sz w:val="20"/>
        </w:rPr>
        <w:t xml:space="preserve">Authenticating Agent” means any Person authorized by either Trustee pursuant to Section 6.12 to act on behalf of such Trustee to authenticate Securities. </w:t>
      </w:r>
    </w:p>
    <w:p>
      <w:pPr>
        <w:pStyle w:val="TextBody"/>
        <w:bidi w:val="0"/>
        <w:spacing w:before="240" w:after="0"/>
        <w:jc w:val="left"/>
        <w:rPr/>
      </w:pPr>
      <w:r>
        <w:rPr/>
        <w:t>“</w:t>
      </w:r>
      <w:r>
        <w:rPr>
          <w:rFonts w:ascii="Times New Roman" w:hAnsi="Times New Roman"/>
          <w:sz w:val="20"/>
        </w:rPr>
        <w:t xml:space="preserve">Authorized Newspaper” means a newspaper, in the English language or in an official language of the country of publication, customarily published on each Business Day,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 </w:t>
      </w:r>
    </w:p>
    <w:p>
      <w:pPr>
        <w:pStyle w:val="TextBody"/>
        <w:bidi w:val="0"/>
        <w:spacing w:before="240" w:after="0"/>
        <w:jc w:val="left"/>
        <w:rPr/>
      </w:pPr>
      <w:r>
        <w:rPr/>
        <w:t>“</w:t>
      </w:r>
      <w:r>
        <w:rPr>
          <w:rFonts w:ascii="Times New Roman" w:hAnsi="Times New Roman"/>
          <w:sz w:val="20"/>
        </w:rPr>
        <w:t xml:space="preserve">Base Currency” has the meaning specified in Section 1.14. </w:t>
      </w:r>
    </w:p>
    <w:p>
      <w:pPr>
        <w:pStyle w:val="TextBody"/>
        <w:bidi w:val="0"/>
        <w:spacing w:before="240" w:after="0"/>
        <w:jc w:val="left"/>
        <w:rPr/>
      </w:pPr>
      <w:r>
        <w:rPr/>
        <w:t>“</w:t>
      </w:r>
      <w:r>
        <w:rPr>
          <w:rFonts w:ascii="Times New Roman" w:hAnsi="Times New Roman"/>
          <w:sz w:val="20"/>
        </w:rPr>
        <w:t xml:space="preserve">BCBCA” means the British Columbia Business Corporations Act, as amended. </w:t>
      </w:r>
    </w:p>
    <w:p>
      <w:pPr>
        <w:pStyle w:val="TextBody"/>
        <w:bidi w:val="0"/>
        <w:spacing w:before="240" w:after="0"/>
        <w:jc w:val="left"/>
        <w:rPr/>
      </w:pPr>
      <w:r>
        <w:rPr/>
        <w:t>“</w:t>
      </w:r>
      <w:r>
        <w:rPr>
          <w:rFonts w:ascii="Times New Roman" w:hAnsi="Times New Roman"/>
          <w:sz w:val="20"/>
        </w:rPr>
        <w:t xml:space="preserve">Bearer Security” means any Security except a Registered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Board of Directors” means either the board of directors of the Company or any duly authorized committee of such board. </w:t>
      </w:r>
    </w:p>
    <w:p>
      <w:pPr>
        <w:pStyle w:val="TextBody"/>
        <w:bidi w:val="0"/>
        <w:spacing w:before="240" w:after="0"/>
        <w:jc w:val="left"/>
        <w:rPr/>
      </w:pPr>
      <w:r>
        <w:rPr/>
        <w:t>“</w:t>
      </w:r>
      <w:r>
        <w:rPr>
          <w:rFonts w:ascii="Times New Roman" w:hAnsi="Times New Roman"/>
          <w:sz w:val="20"/>
        </w:rPr>
        <w:t xml:space="preserve">Board Resolution” means a copy of a resolution certified by the Corporate Secretary or an Assistant Secretary of the Company to have been duly adopted by the Board of Directors and to be in full force and effect on the date of such certification, and delivered to the Trustees. </w:t>
      </w:r>
    </w:p>
    <w:p>
      <w:pPr>
        <w:pStyle w:val="TextBody"/>
        <w:bidi w:val="0"/>
        <w:spacing w:before="240" w:after="0"/>
        <w:jc w:val="left"/>
        <w:rPr/>
      </w:pPr>
      <w:r>
        <w:rPr/>
        <w:t>“</w:t>
      </w:r>
      <w:r>
        <w:rPr>
          <w:rFonts w:ascii="Times New Roman" w:hAnsi="Times New Roman"/>
          <w:sz w:val="20"/>
        </w:rPr>
        <w:t xml:space="preserve">Branch Register” has the meaning specified in Section 3.05. </w:t>
      </w:r>
    </w:p>
    <w:p>
      <w:pPr>
        <w:pStyle w:val="TextBody"/>
        <w:bidi w:val="0"/>
        <w:spacing w:before="240" w:after="0"/>
        <w:jc w:val="left"/>
        <w:rPr/>
      </w:pPr>
      <w:r>
        <w:rPr/>
        <w:t>“</w:t>
      </w:r>
      <w:r>
        <w:rPr>
          <w:rFonts w:ascii="Times New Roman" w:hAnsi="Times New Roman"/>
          <w:sz w:val="20"/>
        </w:rPr>
        <w:t xml:space="preserve">Branch Security Registrar” has the meaning specified in Section 3.05. </w:t>
      </w:r>
    </w:p>
    <w:p>
      <w:pPr>
        <w:pStyle w:val="TextBody"/>
        <w:bidi w:val="0"/>
        <w:spacing w:before="240" w:after="0"/>
        <w:jc w:val="left"/>
        <w:rPr/>
      </w:pPr>
      <w:r>
        <w:rPr/>
        <w:t>“</w:t>
      </w:r>
      <w:r>
        <w:rPr>
          <w:rFonts w:ascii="Times New Roman" w:hAnsi="Times New Roman"/>
          <w:sz w:val="20"/>
        </w:rPr>
        <w:t xml:space="preserve">Business Day”, when used with respect to any Place of Payment or any other particular location referred to in this Indenture or in the Securities, means, unless otherwise specified with respect to any Securities pursuant to Section 3.01, any day other than Saturday, Sunday or any other day on which commercial banking institutions in that Place of Payment or other location are permitted or required by any applicable law, regulation or executive order to close. </w:t>
      </w:r>
    </w:p>
    <w:p>
      <w:pPr>
        <w:pStyle w:val="TextBody"/>
        <w:bidi w:val="0"/>
        <w:spacing w:before="240" w:after="0"/>
        <w:jc w:val="left"/>
        <w:rPr/>
      </w:pPr>
      <w:r>
        <w:rPr/>
        <w:t>“</w:t>
      </w:r>
      <w:r>
        <w:rPr>
          <w:rFonts w:ascii="Times New Roman" w:hAnsi="Times New Roman"/>
          <w:sz w:val="20"/>
        </w:rPr>
        <w:t xml:space="preserve">calculation period” has the meaning specified in Section 3.11. </w:t>
      </w:r>
    </w:p>
    <w:p>
      <w:pPr>
        <w:pStyle w:val="TextBody"/>
        <w:bidi w:val="0"/>
        <w:spacing w:before="240" w:after="0"/>
        <w:jc w:val="left"/>
        <w:rPr/>
      </w:pPr>
      <w:r>
        <w:rPr/>
        <w:t>“</w:t>
      </w:r>
      <w:r>
        <w:rPr>
          <w:rFonts w:ascii="Times New Roman" w:hAnsi="Times New Roman"/>
          <w:sz w:val="20"/>
        </w:rPr>
        <w:t xml:space="preserve">Canadian Securities Authorities” means the securities commissions or similar authorities in Canada. </w:t>
      </w:r>
    </w:p>
    <w:p>
      <w:pPr>
        <w:pStyle w:val="TextBody"/>
        <w:bidi w:val="0"/>
        <w:spacing w:before="240" w:after="0"/>
        <w:jc w:val="left"/>
        <w:rPr/>
      </w:pPr>
      <w:r>
        <w:rPr/>
        <w:t>“</w:t>
      </w:r>
      <w:r>
        <w:rPr>
          <w:rFonts w:ascii="Times New Roman" w:hAnsi="Times New Roman"/>
          <w:sz w:val="20"/>
        </w:rPr>
        <w:t xml:space="preserve">Canadian Taxes” has the meaning specified in Section 10.05. </w:t>
      </w:r>
    </w:p>
    <w:p>
      <w:pPr>
        <w:pStyle w:val="TextBody"/>
        <w:bidi w:val="0"/>
        <w:spacing w:before="240" w:after="0"/>
        <w:jc w:val="left"/>
        <w:rPr/>
      </w:pPr>
      <w:r>
        <w:rPr/>
        <w:t>“</w:t>
      </w:r>
      <w:r>
        <w:rPr>
          <w:rFonts w:ascii="Times New Roman" w:hAnsi="Times New Roman"/>
          <w:sz w:val="20"/>
        </w:rPr>
        <w:t xml:space="preserve">Canadian Trustee” means the Person named as the “Canadian Trustee” in the first paragraph of this Indenture until a successor Canadian Trustee shall have become such pursuant to the applicable provisions of this Indenture, and thereafter “Canadian Trustee” shall mean or include each Person who is then a Canadian Trustee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there is more than one such Person, “Canadian Trustee” as used with respect to the Securities of any series shall mean only the Canadian Trustee with respect to Securities of that series. </w:t>
      </w:r>
    </w:p>
    <w:p>
      <w:pPr>
        <w:pStyle w:val="TextBody"/>
        <w:bidi w:val="0"/>
        <w:spacing w:before="240" w:after="0"/>
        <w:jc w:val="left"/>
        <w:rPr/>
      </w:pPr>
      <w:r>
        <w:rPr/>
        <w:t>“</w:t>
      </w:r>
      <w:r>
        <w:rPr>
          <w:rFonts w:ascii="Times New Roman" w:hAnsi="Times New Roman"/>
          <w:sz w:val="20"/>
        </w:rPr>
        <w:t xml:space="preserve">Capital Stock” in any Person means any and all shares, interests, partnership interests, participations or other equivalents however designated in the equity interest in such Person and any rights (other than debt securities convertible into an equity interest), warrants or options to acquire any equity interest in such Person. </w:t>
      </w:r>
    </w:p>
    <w:p>
      <w:pPr>
        <w:pStyle w:val="TextBody"/>
        <w:bidi w:val="0"/>
        <w:spacing w:before="240" w:after="0"/>
        <w:jc w:val="left"/>
        <w:rPr/>
      </w:pPr>
      <w:r>
        <w:rPr/>
        <w:t>“</w:t>
      </w:r>
      <w:r>
        <w:rPr>
          <w:rFonts w:ascii="Times New Roman" w:hAnsi="Times New Roman"/>
          <w:sz w:val="20"/>
        </w:rPr>
        <w:t xml:space="preserve">Central Register” has the meaning specified in Section 3.05. </w:t>
      </w:r>
    </w:p>
    <w:p>
      <w:pPr>
        <w:pStyle w:val="TextBody"/>
        <w:bidi w:val="0"/>
        <w:spacing w:before="240" w:after="0"/>
        <w:jc w:val="left"/>
        <w:rPr/>
      </w:pPr>
      <w:r>
        <w:rPr/>
        <w:t>“</w:t>
      </w:r>
      <w:r>
        <w:rPr>
          <w:rFonts w:ascii="Times New Roman" w:hAnsi="Times New Roman"/>
          <w:sz w:val="20"/>
        </w:rPr>
        <w:t xml:space="preserve">Central Security Registrar” has the meaning specified in Section 3.05. </w:t>
      </w:r>
    </w:p>
    <w:p>
      <w:pPr>
        <w:pStyle w:val="TextBody"/>
        <w:bidi w:val="0"/>
        <w:spacing w:before="240" w:after="0"/>
        <w:jc w:val="left"/>
        <w:rPr/>
      </w:pPr>
      <w:r>
        <w:rPr/>
        <w:t>“</w:t>
      </w:r>
      <w:r>
        <w:rPr>
          <w:rFonts w:ascii="Times New Roman" w:hAnsi="Times New Roman"/>
          <w:sz w:val="20"/>
        </w:rPr>
        <w:t xml:space="preserve">Clearstream” means Clearstream Banking, societe anonyme, or its successor. </w:t>
      </w:r>
    </w:p>
    <w:p>
      <w:pPr>
        <w:pStyle w:val="TextBody"/>
        <w:bidi w:val="0"/>
        <w:spacing w:before="240" w:after="0"/>
        <w:jc w:val="left"/>
        <w:rPr/>
      </w:pPr>
      <w:r>
        <w:rPr/>
        <w:t>“</w:t>
      </w:r>
      <w:r>
        <w:rPr>
          <w:rFonts w:ascii="Times New Roman" w:hAnsi="Times New Roman"/>
          <w:sz w:val="20"/>
        </w:rPr>
        <w:t xml:space="preserve">Commission”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 </w:t>
      </w:r>
    </w:p>
    <w:p>
      <w:pPr>
        <w:pStyle w:val="TextBody"/>
        <w:bidi w:val="0"/>
        <w:spacing w:before="240" w:after="0"/>
        <w:jc w:val="left"/>
        <w:rPr/>
      </w:pPr>
      <w:r>
        <w:rPr/>
        <w:t>“</w:t>
      </w:r>
      <w:r>
        <w:rPr>
          <w:rFonts w:ascii="Times New Roman" w:hAnsi="Times New Roman"/>
          <w:sz w:val="20"/>
        </w:rPr>
        <w:t xml:space="preserve">Common Depositary” has the meaning specified in Section 3.04.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Company” means the Person named as the “Company” in the first paragraph of this Indenture until a successor Person shall have become such pursuant to the applicable provisions of this Indenture, and thereafter “Company” shall mean such successor Person. </w:t>
      </w:r>
    </w:p>
    <w:p>
      <w:pPr>
        <w:pStyle w:val="TextBody"/>
        <w:bidi w:val="0"/>
        <w:spacing w:before="240" w:after="0"/>
        <w:jc w:val="left"/>
        <w:rPr/>
      </w:pPr>
      <w:r>
        <w:rPr/>
        <w:t>“</w:t>
      </w:r>
      <w:r>
        <w:rPr>
          <w:rFonts w:ascii="Times New Roman" w:hAnsi="Times New Roman"/>
          <w:sz w:val="20"/>
        </w:rPr>
        <w:t xml:space="preserve">Company Request” or “Company Order” means a written request or order signed in the name of the Company by the Chairman of the Board of Directors, the President or the Chief Executive Officer, or if two or more persons share such office any one of such persons, and by the Chief Financial Officer, the Chief Operations Officer or the Corporate Secretary of the Company, or if two or more persons share such office any one of such persons, and delivered to the Trustees. </w:t>
      </w:r>
    </w:p>
    <w:p>
      <w:pPr>
        <w:pStyle w:val="TextBody"/>
        <w:bidi w:val="0"/>
        <w:spacing w:before="240" w:after="0"/>
        <w:jc w:val="left"/>
        <w:rPr/>
      </w:pPr>
      <w:r>
        <w:rPr/>
        <w:t>“</w:t>
      </w:r>
      <w:r>
        <w:rPr>
          <w:rFonts w:ascii="Times New Roman" w:hAnsi="Times New Roman"/>
          <w:sz w:val="20"/>
        </w:rPr>
        <w:t xml:space="preserve">Component Currency” has the meaning specified in Section 3.12(h). </w:t>
      </w:r>
    </w:p>
    <w:p>
      <w:pPr>
        <w:pStyle w:val="TextBody"/>
        <w:bidi w:val="0"/>
        <w:spacing w:before="240" w:after="0"/>
        <w:jc w:val="left"/>
        <w:rPr/>
      </w:pPr>
      <w:r>
        <w:rPr/>
        <w:t>“</w:t>
      </w:r>
      <w:r>
        <w:rPr>
          <w:rFonts w:ascii="Times New Roman" w:hAnsi="Times New Roman"/>
          <w:sz w:val="20"/>
        </w:rPr>
        <w:t xml:space="preserve">Conversion Date” has the meaning specified in Section 3.12(d). </w:t>
      </w:r>
    </w:p>
    <w:p>
      <w:pPr>
        <w:pStyle w:val="TextBody"/>
        <w:bidi w:val="0"/>
        <w:spacing w:before="240" w:after="0"/>
        <w:jc w:val="left"/>
        <w:rPr/>
      </w:pPr>
      <w:r>
        <w:rPr/>
        <w:t>“</w:t>
      </w:r>
      <w:r>
        <w:rPr>
          <w:rFonts w:ascii="Times New Roman" w:hAnsi="Times New Roman"/>
          <w:sz w:val="20"/>
        </w:rPr>
        <w:t xml:space="preserve">Conversion Event” means the cessation of use of (i) a Foreign Currency (other than the Euro) or other currency unit both by the government of the country which issued such Currency and by a central bank or other public institution of or within the international banking community for the settlement of transactions, (ii) the Euro or (iii) any currency unit (or composite currency) other than the Euro for the purposes for which it was established. </w:t>
      </w:r>
    </w:p>
    <w:p>
      <w:pPr>
        <w:pStyle w:val="TextBody"/>
        <w:bidi w:val="0"/>
        <w:spacing w:before="240" w:after="0"/>
        <w:jc w:val="left"/>
        <w:rPr/>
      </w:pPr>
      <w:r>
        <w:rPr/>
        <w:t>“</w:t>
      </w:r>
      <w:r>
        <w:rPr>
          <w:rFonts w:ascii="Times New Roman" w:hAnsi="Times New Roman"/>
          <w:sz w:val="20"/>
        </w:rPr>
        <w:t xml:space="preserve">Corporate Trust Office” means a corporate trust office of the U.S. Trustee or the Canadian Trustee, as applicable, at which at any particular time its corporate trust business may be administered, such an office on the date of execution of this Indenture of the U.S. Trustee is located at </w:t>
      </w:r>
      <w:r>
        <w:rPr>
          <w:rFonts w:ascii="Times New Roman" w:hAnsi="Times New Roman"/>
          <w:b/>
          <w:sz w:val="20"/>
        </w:rPr>
        <w:t>[]</w:t>
      </w:r>
      <w:r>
        <w:rPr>
          <w:rFonts w:ascii="Times New Roman" w:hAnsi="Times New Roman"/>
          <w:sz w:val="20"/>
        </w:rPr>
        <w:t xml:space="preserve">, except that with respect to presentation of Securities for payment or for registration of transfer or exchange, such term shall mean the office or agency of the U.S. Trustee or the Canadian Trustee, as applicable, designated in writing to the Company at which, at any particular time, its corporate agency business shall be conducted. </w:t>
      </w:r>
    </w:p>
    <w:p>
      <w:pPr>
        <w:pStyle w:val="TextBody"/>
        <w:bidi w:val="0"/>
        <w:spacing w:before="240" w:after="0"/>
        <w:jc w:val="left"/>
        <w:rPr/>
      </w:pPr>
      <w:r>
        <w:rPr/>
        <w:t>“</w:t>
      </w:r>
      <w:r>
        <w:rPr>
          <w:rFonts w:ascii="Times New Roman" w:hAnsi="Times New Roman"/>
          <w:sz w:val="20"/>
        </w:rPr>
        <w:t xml:space="preserve">corporation” includes corporations, associations, companies and business trusts. </w:t>
      </w:r>
    </w:p>
    <w:p>
      <w:pPr>
        <w:pStyle w:val="TextBody"/>
        <w:bidi w:val="0"/>
        <w:spacing w:before="240" w:after="0"/>
        <w:jc w:val="left"/>
        <w:rPr/>
      </w:pPr>
      <w:r>
        <w:rPr/>
        <w:t>“</w:t>
      </w:r>
      <w:r>
        <w:rPr>
          <w:rFonts w:ascii="Times New Roman" w:hAnsi="Times New Roman"/>
          <w:sz w:val="20"/>
        </w:rPr>
        <w:t xml:space="preserve">coupon” means any interest coupon appertaining to a Bearer Security. </w:t>
      </w:r>
    </w:p>
    <w:p>
      <w:pPr>
        <w:pStyle w:val="TextBody"/>
        <w:bidi w:val="0"/>
        <w:spacing w:before="240" w:after="0"/>
        <w:jc w:val="left"/>
        <w:rPr/>
      </w:pPr>
      <w:r>
        <w:rPr/>
        <w:t>“</w:t>
      </w:r>
      <w:r>
        <w:rPr>
          <w:rFonts w:ascii="Times New Roman" w:hAnsi="Times New Roman"/>
          <w:sz w:val="20"/>
        </w:rPr>
        <w:t xml:space="preserve">covenant defeasance” has the meaning specified in Section 14.03. </w:t>
      </w:r>
    </w:p>
    <w:p>
      <w:pPr>
        <w:pStyle w:val="TextBody"/>
        <w:bidi w:val="0"/>
        <w:spacing w:before="240" w:after="0"/>
        <w:jc w:val="left"/>
        <w:rPr/>
      </w:pPr>
      <w:r>
        <w:rPr/>
        <w:t>“</w:t>
      </w:r>
      <w:r>
        <w:rPr>
          <w:rFonts w:ascii="Times New Roman" w:hAnsi="Times New Roman"/>
          <w:sz w:val="20"/>
        </w:rPr>
        <w:t xml:space="preserve">Currency” means any currency or currencies, composite currency or currency unit or currency units, including, without limitation, the Euro, issued by the government of one or more countries or by any recognized confederation or association of such governments. </w:t>
      </w:r>
    </w:p>
    <w:p>
      <w:pPr>
        <w:pStyle w:val="TextBody"/>
        <w:bidi w:val="0"/>
        <w:spacing w:before="240" w:after="0"/>
        <w:jc w:val="left"/>
        <w:rPr/>
      </w:pPr>
      <w:r>
        <w:rPr/>
        <w:t>“</w:t>
      </w:r>
      <w:r>
        <w:rPr>
          <w:rFonts w:ascii="Times New Roman" w:hAnsi="Times New Roman"/>
          <w:sz w:val="20"/>
        </w:rPr>
        <w:t xml:space="preserve">Debt” means notes, bonds, debentures or other similar evidences of indebtedness for money borrowed. </w:t>
      </w:r>
    </w:p>
    <w:p>
      <w:pPr>
        <w:pStyle w:val="TextBody"/>
        <w:bidi w:val="0"/>
        <w:spacing w:before="240" w:after="0"/>
        <w:jc w:val="left"/>
        <w:rPr/>
      </w:pPr>
      <w:r>
        <w:rPr/>
        <w:t>“</w:t>
      </w:r>
      <w:r>
        <w:rPr>
          <w:rFonts w:ascii="Times New Roman" w:hAnsi="Times New Roman"/>
          <w:sz w:val="20"/>
        </w:rPr>
        <w:t xml:space="preserve">Default” means any event which is, or after notice or passage of time or both would be, an Event of Default. </w:t>
      </w:r>
    </w:p>
    <w:p>
      <w:pPr>
        <w:pStyle w:val="TextBody"/>
        <w:bidi w:val="0"/>
        <w:spacing w:before="240" w:after="0"/>
        <w:jc w:val="left"/>
        <w:rPr/>
      </w:pPr>
      <w:r>
        <w:rPr/>
        <w:t>“</w:t>
      </w:r>
      <w:r>
        <w:rPr>
          <w:rFonts w:ascii="Times New Roman" w:hAnsi="Times New Roman"/>
          <w:sz w:val="20"/>
        </w:rPr>
        <w:t xml:space="preserve">Defaulted Interest” has the meaning specified in Section 3.07. </w:t>
      </w:r>
    </w:p>
    <w:p>
      <w:pPr>
        <w:pStyle w:val="TextBody"/>
        <w:bidi w:val="0"/>
        <w:spacing w:before="240" w:after="0"/>
        <w:jc w:val="left"/>
        <w:rPr/>
      </w:pPr>
      <w:r>
        <w:rPr/>
        <w:t>“</w:t>
      </w:r>
      <w:r>
        <w:rPr>
          <w:rFonts w:ascii="Times New Roman" w:hAnsi="Times New Roman"/>
          <w:sz w:val="20"/>
        </w:rPr>
        <w:t xml:space="preserve">defeasance” has the meaning specified in Section 14.02.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Depositary” means with respect to the Securities of any series issuable or issued in the form of one or more Registered Securities, the Person designated as Depositary by the Company pursuant to Section 3.05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Securities of that series. </w:t>
      </w:r>
    </w:p>
    <w:p>
      <w:pPr>
        <w:pStyle w:val="TextBody"/>
        <w:bidi w:val="0"/>
        <w:spacing w:before="240" w:after="0"/>
        <w:jc w:val="left"/>
        <w:rPr/>
      </w:pPr>
      <w:r>
        <w:rPr/>
        <w:t>“</w:t>
      </w:r>
      <w:r>
        <w:rPr>
          <w:rFonts w:ascii="Times New Roman" w:hAnsi="Times New Roman"/>
          <w:sz w:val="20"/>
        </w:rPr>
        <w:t xml:space="preserve">Dollar” or “$” means a dollar or other equivalent unit in such coin or currency of the United States of America as at the time shall be legal tender for the payment of public and private debts. </w:t>
      </w:r>
    </w:p>
    <w:p>
      <w:pPr>
        <w:pStyle w:val="TextBody"/>
        <w:bidi w:val="0"/>
        <w:spacing w:before="240" w:after="0"/>
        <w:jc w:val="left"/>
        <w:rPr/>
      </w:pPr>
      <w:r>
        <w:rPr/>
        <w:t>“</w:t>
      </w:r>
      <w:r>
        <w:rPr>
          <w:rFonts w:ascii="Times New Roman" w:hAnsi="Times New Roman"/>
          <w:sz w:val="20"/>
        </w:rPr>
        <w:t xml:space="preserve">Dollar Equivalent of the Currency Unit” has the meaning specified in Section 3.12(g). </w:t>
      </w:r>
    </w:p>
    <w:p>
      <w:pPr>
        <w:pStyle w:val="TextBody"/>
        <w:bidi w:val="0"/>
        <w:spacing w:before="240" w:after="0"/>
        <w:jc w:val="left"/>
        <w:rPr/>
      </w:pPr>
      <w:r>
        <w:rPr/>
        <w:t>“</w:t>
      </w:r>
      <w:r>
        <w:rPr>
          <w:rFonts w:ascii="Times New Roman" w:hAnsi="Times New Roman"/>
          <w:sz w:val="20"/>
        </w:rPr>
        <w:t xml:space="preserve">Dollar Equivalent of the Foreign Currency” has the meaning specified in Section 3.12(f). </w:t>
      </w:r>
    </w:p>
    <w:p>
      <w:pPr>
        <w:pStyle w:val="TextBody"/>
        <w:bidi w:val="0"/>
        <w:spacing w:before="240" w:after="0"/>
        <w:jc w:val="left"/>
        <w:rPr/>
      </w:pPr>
      <w:r>
        <w:rPr/>
        <w:t>“</w:t>
      </w:r>
      <w:r>
        <w:rPr>
          <w:rFonts w:ascii="Times New Roman" w:hAnsi="Times New Roman"/>
          <w:sz w:val="20"/>
        </w:rPr>
        <w:t xml:space="preserve">Election Date” has the meaning specified in Section 3.12(h). </w:t>
      </w:r>
    </w:p>
    <w:p>
      <w:pPr>
        <w:pStyle w:val="TextBody"/>
        <w:bidi w:val="0"/>
        <w:spacing w:before="240" w:after="0"/>
        <w:jc w:val="left"/>
        <w:rPr/>
      </w:pPr>
      <w:r>
        <w:rPr/>
        <w:t>“</w:t>
      </w:r>
      <w:r>
        <w:rPr>
          <w:rFonts w:ascii="Times New Roman" w:hAnsi="Times New Roman"/>
          <w:sz w:val="20"/>
        </w:rPr>
        <w:t xml:space="preserve">Euro” means the single currency of the participating member states from time to time of the European Union described in legislation of the European Counsel for the operation of a single unified European currency (whether known as the Euro or otherwise). </w:t>
      </w:r>
    </w:p>
    <w:p>
      <w:pPr>
        <w:pStyle w:val="TextBody"/>
        <w:bidi w:val="0"/>
        <w:spacing w:before="240" w:after="0"/>
        <w:jc w:val="left"/>
        <w:rPr/>
      </w:pPr>
      <w:r>
        <w:rPr/>
        <w:t>“</w:t>
      </w:r>
      <w:r>
        <w:rPr>
          <w:rFonts w:ascii="Times New Roman" w:hAnsi="Times New Roman"/>
          <w:sz w:val="20"/>
        </w:rPr>
        <w:t xml:space="preserve">Euroclear” means Euroclear Bank S.A./N.V., or its successor as operator of the Euroclear System. </w:t>
      </w:r>
    </w:p>
    <w:p>
      <w:pPr>
        <w:pStyle w:val="TextBody"/>
        <w:bidi w:val="0"/>
        <w:spacing w:before="240" w:after="0"/>
        <w:jc w:val="left"/>
        <w:rPr/>
      </w:pPr>
      <w:r>
        <w:rPr/>
        <w:t>“</w:t>
      </w:r>
      <w:r>
        <w:rPr>
          <w:rFonts w:ascii="Times New Roman" w:hAnsi="Times New Roman"/>
          <w:sz w:val="20"/>
        </w:rPr>
        <w:t xml:space="preserve">Event of Default” has the meaning specified in Section 5.01. </w:t>
      </w:r>
    </w:p>
    <w:p>
      <w:pPr>
        <w:pStyle w:val="TextBody"/>
        <w:bidi w:val="0"/>
        <w:spacing w:before="240" w:after="0"/>
        <w:jc w:val="left"/>
        <w:rPr/>
      </w:pPr>
      <w:r>
        <w:rPr/>
        <w:t>“</w:t>
      </w:r>
      <w:r>
        <w:rPr>
          <w:rFonts w:ascii="Times New Roman" w:hAnsi="Times New Roman"/>
          <w:sz w:val="20"/>
        </w:rPr>
        <w:t xml:space="preserve">Exchange Act” means the United States Securities Exchange Act of 1934, as amended. </w:t>
      </w:r>
    </w:p>
    <w:p>
      <w:pPr>
        <w:pStyle w:val="TextBody"/>
        <w:bidi w:val="0"/>
        <w:spacing w:before="240" w:after="0"/>
        <w:jc w:val="left"/>
        <w:rPr/>
      </w:pPr>
      <w:r>
        <w:rPr/>
        <w:t>“</w:t>
      </w:r>
      <w:r>
        <w:rPr>
          <w:rFonts w:ascii="Times New Roman" w:hAnsi="Times New Roman"/>
          <w:sz w:val="20"/>
        </w:rPr>
        <w:t xml:space="preserve">Exchange Date” has the meaning specified in Section 3.04. </w:t>
      </w:r>
    </w:p>
    <w:p>
      <w:pPr>
        <w:pStyle w:val="TextBody"/>
        <w:bidi w:val="0"/>
        <w:spacing w:before="240" w:after="0"/>
        <w:jc w:val="left"/>
        <w:rPr/>
      </w:pPr>
      <w:r>
        <w:rPr/>
        <w:t>“</w:t>
      </w:r>
      <w:r>
        <w:rPr>
          <w:rFonts w:ascii="Times New Roman" w:hAnsi="Times New Roman"/>
          <w:sz w:val="20"/>
        </w:rPr>
        <w:t xml:space="preserve">Exchange Rate Agent” means, with respect to Securities of or within any series, unless otherwise specified with respect to any Securities pursuant to Section 3.01, a New York clearing house bank, designated pursuant to Section 3.01 or Section 3.13. </w:t>
      </w:r>
    </w:p>
    <w:p>
      <w:pPr>
        <w:pStyle w:val="TextBody"/>
        <w:bidi w:val="0"/>
        <w:spacing w:before="240" w:after="0"/>
        <w:jc w:val="left"/>
        <w:rPr/>
      </w:pPr>
      <w:r>
        <w:rPr/>
        <w:t>“</w:t>
      </w:r>
      <w:r>
        <w:rPr>
          <w:rFonts w:ascii="Times New Roman" w:hAnsi="Times New Roman"/>
          <w:sz w:val="20"/>
        </w:rPr>
        <w:t xml:space="preserve">Exchange Rate Officers’ Certificate” means a tested telex or a certificate setting forth (i) the applicable Market Exchange Rate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sent (in the case of a telex) or signed (in the case of a certificate) by the Chief Executive Officer, President or Chief Financial Officer of the Company. </w:t>
      </w:r>
    </w:p>
    <w:p>
      <w:pPr>
        <w:pStyle w:val="TextBody"/>
        <w:bidi w:val="0"/>
        <w:spacing w:before="240" w:after="0"/>
        <w:jc w:val="left"/>
        <w:rPr/>
      </w:pPr>
      <w:r>
        <w:rPr/>
        <w:t>“</w:t>
      </w:r>
      <w:r>
        <w:rPr>
          <w:rFonts w:ascii="Times New Roman" w:hAnsi="Times New Roman"/>
          <w:sz w:val="20"/>
        </w:rPr>
        <w:t xml:space="preserve">Exchanges” means the Nasdaq Capital Market and the Toronto Stock Exchange and any other securities exchange or automated quotation system upon which the Securities are or become listed or quoted. </w:t>
      </w:r>
    </w:p>
    <w:p>
      <w:pPr>
        <w:pStyle w:val="TextBody"/>
        <w:bidi w:val="0"/>
        <w:spacing w:before="240" w:after="0"/>
        <w:jc w:val="left"/>
        <w:rPr/>
      </w:pPr>
      <w:r>
        <w:rPr/>
        <w:t>“</w:t>
      </w:r>
      <w:r>
        <w:rPr>
          <w:rFonts w:ascii="Times New Roman" w:hAnsi="Times New Roman"/>
          <w:sz w:val="20"/>
        </w:rPr>
        <w:t xml:space="preserve">Excluded Holder” has the meaning specified in Section 10.05.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Extension Notice” has the meaning specified in Section 3.08. </w:t>
      </w:r>
    </w:p>
    <w:p>
      <w:pPr>
        <w:pStyle w:val="TextBody"/>
        <w:bidi w:val="0"/>
        <w:spacing w:before="240" w:after="0"/>
        <w:jc w:val="left"/>
        <w:rPr/>
      </w:pPr>
      <w:r>
        <w:rPr/>
        <w:t>“</w:t>
      </w:r>
      <w:r>
        <w:rPr>
          <w:rFonts w:ascii="Times New Roman" w:hAnsi="Times New Roman"/>
          <w:sz w:val="20"/>
        </w:rPr>
        <w:t xml:space="preserve">Extension Period” has the meaning specified in Section 3.08. </w:t>
      </w:r>
    </w:p>
    <w:p>
      <w:pPr>
        <w:pStyle w:val="TextBody"/>
        <w:bidi w:val="0"/>
        <w:spacing w:before="240" w:after="0"/>
        <w:jc w:val="left"/>
        <w:rPr/>
      </w:pPr>
      <w:r>
        <w:rPr/>
        <w:t>“</w:t>
      </w:r>
      <w:r>
        <w:rPr>
          <w:rFonts w:ascii="Times New Roman" w:hAnsi="Times New Roman"/>
          <w:sz w:val="20"/>
        </w:rPr>
        <w:t xml:space="preserve">Final Maturity” has the meaning specified in Section 3.08. </w:t>
      </w:r>
    </w:p>
    <w:p>
      <w:pPr>
        <w:pStyle w:val="TextBody"/>
        <w:bidi w:val="0"/>
        <w:spacing w:before="240" w:after="0"/>
        <w:jc w:val="left"/>
        <w:rPr/>
      </w:pPr>
      <w:r>
        <w:rPr/>
        <w:t>“</w:t>
      </w:r>
      <w:r>
        <w:rPr>
          <w:rFonts w:ascii="Times New Roman" w:hAnsi="Times New Roman"/>
          <w:sz w:val="20"/>
        </w:rPr>
        <w:t xml:space="preserve">First Currency” has the meaning specified in Section 1.15. </w:t>
      </w:r>
    </w:p>
    <w:p>
      <w:pPr>
        <w:pStyle w:val="TextBody"/>
        <w:bidi w:val="0"/>
        <w:spacing w:before="240" w:after="0"/>
        <w:jc w:val="left"/>
        <w:rPr/>
      </w:pPr>
      <w:r>
        <w:rPr/>
        <w:t>“</w:t>
      </w:r>
      <w:r>
        <w:rPr>
          <w:rFonts w:ascii="Times New Roman" w:hAnsi="Times New Roman"/>
          <w:sz w:val="20"/>
        </w:rPr>
        <w:t xml:space="preserve">Foreign Currency” means any Currency other than Currency of the United States. </w:t>
      </w:r>
    </w:p>
    <w:p>
      <w:pPr>
        <w:pStyle w:val="TextBody"/>
        <w:bidi w:val="0"/>
        <w:spacing w:before="240" w:after="0"/>
        <w:jc w:val="left"/>
        <w:rPr/>
      </w:pPr>
      <w:r>
        <w:rPr/>
        <w:t>“</w:t>
      </w:r>
      <w:r>
        <w:rPr>
          <w:rFonts w:ascii="Times New Roman" w:hAnsi="Times New Roman"/>
          <w:sz w:val="20"/>
        </w:rPr>
        <w:t xml:space="preserve">GAAP” means generally accepted accounting principles in Canada in effect from time to time, unless the Person’s most recent audited or quarterly financial statements are not prepared in accordance with generally accepted accounting principles in Canada, in which case “GAAP” shall mean generally accepted accounting principles in the United States in effect from time to time. </w:t>
      </w:r>
    </w:p>
    <w:p>
      <w:pPr>
        <w:pStyle w:val="TextBody"/>
        <w:bidi w:val="0"/>
        <w:spacing w:before="240" w:after="0"/>
        <w:jc w:val="left"/>
        <w:rPr/>
      </w:pPr>
      <w:r>
        <w:rPr/>
        <w:t>“</w:t>
      </w:r>
      <w:r>
        <w:rPr>
          <w:rFonts w:ascii="Times New Roman" w:hAnsi="Times New Roman"/>
          <w:sz w:val="20"/>
        </w:rPr>
        <w:t xml:space="preserve">Government Obligations” means, unless otherwise specified with respect to any series of Securities pursuant to Section 3.01, securities which are (i) 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hAnsi="Times New Roman"/>
          <w:sz w:val="20"/>
          <w:u w:val="single"/>
        </w:rPr>
        <w:t>provided</w:t>
      </w:r>
      <w:r>
        <w:rPr>
          <w:rFonts w:ascii="Times New Roman" w:hAnsi="Times New Roman"/>
          <w:sz w:val="20"/>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or principal of the Government Obligation evidenced by such depository receipt. </w:t>
      </w:r>
    </w:p>
    <w:p>
      <w:pPr>
        <w:pStyle w:val="TextBody"/>
        <w:bidi w:val="0"/>
        <w:spacing w:before="240" w:after="0"/>
        <w:jc w:val="left"/>
        <w:rPr/>
      </w:pPr>
      <w:r>
        <w:rPr/>
        <w:t>“</w:t>
      </w:r>
      <w:r>
        <w:rPr>
          <w:rFonts w:ascii="Times New Roman" w:hAnsi="Times New Roman"/>
          <w:sz w:val="20"/>
        </w:rPr>
        <w:t xml:space="preserve">Holder” means, in the case of a Registered Security, the Person in whose name a Security is registered in the Security Register and, in the case of a Bearer Security, the bearer thereof and, when used with respect to any coupon, shall mean the bearer thereof. </w:t>
      </w:r>
    </w:p>
    <w:p>
      <w:pPr>
        <w:pStyle w:val="TextBody"/>
        <w:bidi w:val="0"/>
        <w:spacing w:before="240" w:after="0"/>
        <w:jc w:val="left"/>
        <w:rPr/>
      </w:pPr>
      <w:r>
        <w:rPr/>
        <w:t>“</w:t>
      </w:r>
      <w:r>
        <w:rPr>
          <w:rFonts w:ascii="Times New Roman" w:hAnsi="Times New Roman"/>
          <w:sz w:val="20"/>
        </w:rPr>
        <w:t xml:space="preserve">Indenture”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more indentures supplemental hereto executed and delivered after such Person had become such Trustee but to which such Person, as such Trustee, was not a party. </w:t>
      </w:r>
    </w:p>
    <w:p>
      <w:pPr>
        <w:pStyle w:val="TextBody"/>
        <w:bidi w:val="0"/>
        <w:spacing w:before="240" w:after="0"/>
        <w:jc w:val="left"/>
        <w:rPr/>
      </w:pPr>
      <w:r>
        <w:rPr/>
        <w:t>“</w:t>
      </w:r>
      <w:r>
        <w:rPr>
          <w:rFonts w:ascii="Times New Roman" w:hAnsi="Times New Roman"/>
          <w:sz w:val="20"/>
        </w:rPr>
        <w:t xml:space="preserve">Indexed Security” means a Security the terms of which provide that the principal amount thereof payable at Stated Maturity may be more or less than the principal face amount thereof at original issuance. </w:t>
      </w:r>
    </w:p>
    <w:p>
      <w:pPr>
        <w:pStyle w:val="TextBody"/>
        <w:bidi w:val="0"/>
        <w:spacing w:before="240" w:after="0"/>
        <w:jc w:val="left"/>
        <w:rPr/>
      </w:pPr>
      <w:r>
        <w:rPr/>
        <w:t>“</w:t>
      </w:r>
      <w:r>
        <w:rPr>
          <w:rFonts w:ascii="Times New Roman" w:hAnsi="Times New Roman"/>
          <w:sz w:val="20"/>
        </w:rPr>
        <w:t xml:space="preserve">interest”, when used with respect to an Original Issue Discount Security which by its terms bears interest only after Maturity, means interest payable after Maturity at the rate prescribed in such Original Issue Discount Security. </w:t>
      </w:r>
    </w:p>
    <w:p>
      <w:pPr>
        <w:pStyle w:val="TextBody"/>
        <w:bidi w:val="0"/>
        <w:spacing w:before="240" w:after="0"/>
        <w:jc w:val="left"/>
        <w:rPr/>
      </w:pPr>
      <w:r>
        <w:rPr/>
        <w:t>“</w:t>
      </w:r>
      <w:r>
        <w:rPr>
          <w:rFonts w:ascii="Times New Roman" w:hAnsi="Times New Roman"/>
          <w:sz w:val="20"/>
        </w:rPr>
        <w:t xml:space="preserve">Interest Payment Date”, when used with respect to any Security, means the Stated Maturity of an installment of interest on such Security. </w:t>
      </w:r>
    </w:p>
    <w:p>
      <w:pPr>
        <w:pStyle w:val="TextBody"/>
        <w:bidi w:val="0"/>
        <w:spacing w:before="240" w:after="0"/>
        <w:jc w:val="left"/>
        <w:rPr/>
      </w:pPr>
      <w:r>
        <w:rPr/>
        <w:t>“</w:t>
      </w:r>
      <w:r>
        <w:rPr>
          <w:rFonts w:ascii="Times New Roman" w:hAnsi="Times New Roman"/>
          <w:sz w:val="20"/>
        </w:rPr>
        <w:t xml:space="preserve">Judgment Currency” has the meaning specified in Section 1.14. </w:t>
      </w:r>
    </w:p>
    <w:p>
      <w:pPr>
        <w:pStyle w:val="TextBody"/>
        <w:bidi w:val="0"/>
        <w:spacing w:before="240" w:after="0"/>
        <w:jc w:val="left"/>
        <w:rPr/>
      </w:pPr>
      <w:r>
        <w:rPr/>
        <w:t>“</w:t>
      </w:r>
      <w:r>
        <w:rPr>
          <w:rFonts w:ascii="Times New Roman" w:hAnsi="Times New Roman"/>
          <w:sz w:val="20"/>
        </w:rPr>
        <w:t xml:space="preserve">Lien” means any mortgage, pledge, hypothecation, charge, assignment, deposit arrangement, encumbrance, security interest, lien (statutory or other), or preference, priority or other security or similar agreement or preferential arrangement of any kind or nature whatsoever (including, without limitation, any agreement to give or grant a Lien or any lease, conditional sale or other title retention agreement having substantially the same economic effect as any of the foregoing). </w:t>
      </w:r>
    </w:p>
    <w:p>
      <w:pPr>
        <w:pStyle w:val="TextBody"/>
        <w:bidi w:val="0"/>
        <w:spacing w:before="240" w:after="0"/>
        <w:jc w:val="left"/>
        <w:rPr/>
      </w:pPr>
      <w:r>
        <w:rPr/>
        <w:t>“</w:t>
      </w:r>
      <w:r>
        <w:rPr>
          <w:rFonts w:ascii="Times New Roman" w:hAnsi="Times New Roman"/>
          <w:sz w:val="20"/>
        </w:rPr>
        <w:t xml:space="preserve">mandatory sinking fund payment” has the meaning specified in Section 12.01. </w:t>
      </w:r>
    </w:p>
    <w:p>
      <w:pPr>
        <w:pStyle w:val="TextBody"/>
        <w:bidi w:val="0"/>
        <w:spacing w:before="240" w:after="0"/>
        <w:jc w:val="left"/>
        <w:rPr/>
      </w:pPr>
      <w:r>
        <w:rPr/>
        <w:t>“</w:t>
      </w:r>
      <w:r>
        <w:rPr>
          <w:rFonts w:ascii="Times New Roman" w:hAnsi="Times New Roman"/>
          <w:sz w:val="20"/>
        </w:rPr>
        <w:t xml:space="preserve">Market Exchange Rate”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Toronto,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Toronto,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securities designated in such Currency would purchase such Currency in order to make payments in respect of such securities. </w:t>
      </w:r>
    </w:p>
    <w:p>
      <w:pPr>
        <w:pStyle w:val="TextBody"/>
        <w:bidi w:val="0"/>
        <w:spacing w:before="240" w:after="0"/>
        <w:jc w:val="left"/>
        <w:rPr/>
      </w:pPr>
      <w:r>
        <w:rPr/>
        <w:t>“</w:t>
      </w:r>
      <w:r>
        <w:rPr>
          <w:rFonts w:ascii="Times New Roman" w:hAnsi="Times New Roman"/>
          <w:sz w:val="20"/>
        </w:rPr>
        <w:t xml:space="preserve">Maturity”, when used with respect to any Security, means the date on which the principal of such Security or an installment of principal becomes due and payable as therein or herein provided, whether at the Stated Maturity or by declaration of acceleration, notice of redemption, or otherwise. </w:t>
      </w:r>
    </w:p>
    <w:p>
      <w:pPr>
        <w:pStyle w:val="TextBody"/>
        <w:bidi w:val="0"/>
        <w:spacing w:before="240" w:after="0"/>
        <w:jc w:val="left"/>
        <w:rPr/>
      </w:pPr>
      <w:r>
        <w:rPr/>
        <w:t>“</w:t>
      </w:r>
      <w:r>
        <w:rPr>
          <w:rFonts w:ascii="Times New Roman" w:hAnsi="Times New Roman"/>
          <w:sz w:val="20"/>
        </w:rPr>
        <w:t xml:space="preserve">Non-Recourse Debt” means indebtedness to finance the creation, development, construction or acquisition of assets and any increases in or extensions, renewals or refinancings of such indebtedness, provided that the recourse of the lender thereof (including any agent, trustee, receiver or other Person acting on behalf of such entity) in respect of such indebtedness is limited in all circumstances to the assets created, developed, constructed or acquired in respect of which such indebtedness has been incurred and to the receivables, inventory, equipment, chattels payable, contracts, intangibles and other assets, rights or collateral connected with the assets created, developed, constructed or acquired and to which such lender has recourse. </w:t>
      </w:r>
    </w:p>
    <w:p>
      <w:pPr>
        <w:pStyle w:val="TextBody"/>
        <w:bidi w:val="0"/>
        <w:spacing w:before="240" w:after="0"/>
        <w:jc w:val="left"/>
        <w:rPr/>
      </w:pPr>
      <w:r>
        <w:rPr/>
        <w:t>“</w:t>
      </w:r>
      <w:r>
        <w:rPr>
          <w:rFonts w:ascii="Times New Roman" w:hAnsi="Times New Roman"/>
          <w:sz w:val="20"/>
        </w:rPr>
        <w:t xml:space="preserve">Notice of Default” has the meaning specified in Section 5.01. </w:t>
      </w:r>
    </w:p>
    <w:p>
      <w:pPr>
        <w:pStyle w:val="TextBody"/>
        <w:bidi w:val="0"/>
        <w:spacing w:before="240" w:after="0"/>
        <w:jc w:val="left"/>
        <w:rPr/>
      </w:pPr>
      <w:r>
        <w:rPr/>
        <w:t>“</w:t>
      </w:r>
      <w:r>
        <w:rPr>
          <w:rFonts w:ascii="Times New Roman" w:hAnsi="Times New Roman"/>
          <w:sz w:val="20"/>
        </w:rPr>
        <w:t xml:space="preserve">Officers’ Certificate” means a certificate, which shall comply with this Indenture, signed by the Chairman of the Board of Directors, the President or the Chief Executive Officer, or if two or more persons share such office any one of such persons, and by the Chief Financial Officer, the Chief Operations Officer or the Corporate Secretary, or if two or more persons share such office any one of such persons, and delivered to the Trustees. </w:t>
      </w:r>
    </w:p>
    <w:p>
      <w:pPr>
        <w:pStyle w:val="TextBody"/>
        <w:bidi w:val="0"/>
        <w:spacing w:before="240" w:after="0"/>
        <w:jc w:val="left"/>
        <w:rPr/>
      </w:pPr>
      <w:r>
        <w:rPr/>
        <w:t>“</w:t>
      </w:r>
      <w:r>
        <w:rPr>
          <w:rFonts w:ascii="Times New Roman" w:hAnsi="Times New Roman"/>
          <w:sz w:val="20"/>
        </w:rPr>
        <w:t xml:space="preserve">Opinion of Counsel” means a written opinion of counsel, who may be counsel for the Company, including an employee of the Company. </w:t>
      </w:r>
    </w:p>
    <w:p>
      <w:pPr>
        <w:pStyle w:val="TextBody"/>
        <w:bidi w:val="0"/>
        <w:spacing w:before="240" w:after="0"/>
        <w:jc w:val="left"/>
        <w:rPr/>
      </w:pPr>
      <w:r>
        <w:rPr/>
        <w:t>“</w:t>
      </w:r>
      <w:r>
        <w:rPr>
          <w:rFonts w:ascii="Times New Roman" w:hAnsi="Times New Roman"/>
          <w:sz w:val="20"/>
        </w:rPr>
        <w:t xml:space="preserve">optional sinking fund payment” has the meaning specified in Section 12.01. </w:t>
      </w:r>
    </w:p>
    <w:p>
      <w:pPr>
        <w:pStyle w:val="TextBody"/>
        <w:bidi w:val="0"/>
        <w:spacing w:before="240" w:after="0"/>
        <w:jc w:val="left"/>
        <w:rPr/>
      </w:pPr>
      <w:r>
        <w:rPr/>
        <w:t>“</w:t>
      </w:r>
      <w:r>
        <w:rPr>
          <w:rFonts w:ascii="Times New Roman" w:hAnsi="Times New Roman"/>
          <w:sz w:val="20"/>
        </w:rPr>
        <w:t xml:space="preserve">Original Issue Discount Security” means any Security which provides for an amount less than the principal amount thereof to be due and payable upon a declaration of acceleration of the Maturity thereof pursuant to Section 5.02. </w:t>
      </w:r>
    </w:p>
    <w:p>
      <w:pPr>
        <w:pStyle w:val="TextBody"/>
        <w:bidi w:val="0"/>
        <w:spacing w:before="240" w:after="0"/>
        <w:jc w:val="left"/>
        <w:rPr/>
      </w:pPr>
      <w:r>
        <w:rPr/>
        <w:t>“</w:t>
      </w:r>
      <w:r>
        <w:rPr>
          <w:rFonts w:ascii="Times New Roman" w:hAnsi="Times New Roman"/>
          <w:sz w:val="20"/>
        </w:rPr>
        <w:t xml:space="preserve">Original Stated Maturity” has the meaning specified in Section 3.08. </w:t>
      </w:r>
    </w:p>
    <w:p>
      <w:pPr>
        <w:pStyle w:val="TextBody"/>
        <w:bidi w:val="0"/>
        <w:spacing w:before="240" w:after="0"/>
        <w:jc w:val="left"/>
        <w:rPr/>
      </w:pPr>
      <w:r>
        <w:rPr/>
        <w:t>“</w:t>
      </w:r>
      <w:r>
        <w:rPr>
          <w:rFonts w:ascii="Times New Roman" w:hAnsi="Times New Roman"/>
          <w:sz w:val="20"/>
        </w:rPr>
        <w:t xml:space="preserve">Other Currency” has the meaning specified in Section 1.15. </w:t>
      </w:r>
    </w:p>
    <w:p>
      <w:pPr>
        <w:pStyle w:val="TextBody"/>
        <w:bidi w:val="0"/>
        <w:spacing w:before="240" w:after="0"/>
        <w:jc w:val="left"/>
        <w:rPr/>
      </w:pPr>
      <w:r>
        <w:rPr/>
        <w:t>“</w:t>
      </w:r>
      <w:r>
        <w:rPr>
          <w:rFonts w:ascii="Times New Roman" w:hAnsi="Times New Roman"/>
          <w:sz w:val="20"/>
        </w:rPr>
        <w:t xml:space="preserve">Outstanding”, when used with respect to Securities, means, as of the date of determination, all Securities theretofore authenticated and delivered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(i) Securities theretofore cancelled by a Trustee or delivered to a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(ii) Securities, or portions thereof, for whose payment or redemption or repayment at the option of the Holder, money in the necessary amount has been theretofore deposited with a Trustee or any Paying Agent (other than the Company) in trust or set aside and segregated in trust by the Company (if the Company shall act as its own Paying Agent)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of such Securities and any coupons appertaining thereto; provided that, if such Securities are to be redeemed, notice of such redemption has been duly given pursuant to this Indenture or provision therefor satisfactory to the Trustees has been made; </w:t>
      </w:r>
    </w:p>
    <w:p>
      <w:pPr>
        <w:pStyle w:val="TextBody"/>
        <w:bidi w:val="0"/>
        <w:spacing w:before="120" w:after="0"/>
        <w:jc w:val="left"/>
        <w:rPr>
          <w:rFonts w:ascii="Times New Roman" w:hAnsi="Times New Roman"/>
          <w:sz w:val="20"/>
        </w:rPr>
      </w:pPr>
      <w:r>
        <w:rPr>
          <w:rFonts w:ascii="Times New Roman" w:hAnsi="Times New Roman"/>
          <w:sz w:val="20"/>
        </w:rPr>
        <w:t xml:space="preserve">(iii) Securities, except to the extent provided in Sections Section 14.02 and Section 14.03, with respect to which the Company has effected defeasance and/or covenant defeasance as provided in Article Fourteen; and </w:t>
      </w:r>
    </w:p>
    <w:p>
      <w:pPr>
        <w:pStyle w:val="TextBody"/>
        <w:bidi w:val="0"/>
        <w:spacing w:before="120" w:after="0"/>
        <w:jc w:val="left"/>
        <w:rPr>
          <w:rFonts w:ascii="Times New Roman" w:hAnsi="Times New Roman"/>
          <w:sz w:val="20"/>
        </w:rPr>
      </w:pPr>
      <w:r>
        <w:rPr>
          <w:rFonts w:ascii="Times New Roman" w:hAnsi="Times New Roman"/>
          <w:sz w:val="20"/>
        </w:rPr>
        <w:t xml:space="preserve">(iv) Securities which have been paid pursuant to Section 3.06 or in exchange for or in lieu of which other Securities have been authenticated and delivered pursuant to this Indenture, other than any such Securities in respect of which there shall have been presented to the Trustees proof satisfactory to them that such Securities are held by a protected purchaser (as defined in ARTICLE 8 of the UCC) in whose hands such Securities are valid obligations of the Company;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Trustees,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Trustees shall be protected in making such calculation or in relying upon any such request, demand, authorization, direction, notice, consent or waiver, only Securities which the Trustees know to be so owned shall be so disregarded. Securities so owned which have been pledged in good faith may be regarded as Outstanding if the pledgee establishes to the satisfaction of the Trustees the pledgee’s right so to act with respect to such Securities and that the pledgee is not the Company or any other obligor upon the Securities or any Affiliate of the Company or such other obligor. </w:t>
      </w:r>
    </w:p>
    <w:p>
      <w:pPr>
        <w:pStyle w:val="TextBody"/>
        <w:bidi w:val="0"/>
        <w:spacing w:before="240" w:after="0"/>
        <w:jc w:val="left"/>
        <w:rPr/>
      </w:pPr>
      <w:r>
        <w:rPr/>
        <w:t>“</w:t>
      </w:r>
      <w:r>
        <w:rPr>
          <w:rFonts w:ascii="Times New Roman" w:hAnsi="Times New Roman"/>
          <w:sz w:val="20"/>
        </w:rPr>
        <w:t xml:space="preserve">Paying Agent” means any Person (including the Company acting as Paying Agent) authorized by the Company to pay the principal of (or premium, if any) or interest, if any, on any Securities on behalf of the Company. Such Person, at the responsibility of the Company, must be able to make payment in the currency of the issued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Person” means any individual, corporation, body corporate, partnership, joint venture, limited liability company, association,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sz w:val="20"/>
        </w:rPr>
        <w:t xml:space="preserve">Place of Payment” means, when used with respect to the Securities of or within any series, each place where the principal of (and premium, if any) and interest, if any, on such Securities are payable in the United States and Canada as specified as contemplated by Section 3.01 and Section 10.02. </w:t>
      </w:r>
    </w:p>
    <w:p>
      <w:pPr>
        <w:pStyle w:val="TextBody"/>
        <w:bidi w:val="0"/>
        <w:spacing w:before="240" w:after="0"/>
        <w:jc w:val="left"/>
        <w:rPr/>
      </w:pPr>
      <w:r>
        <w:rPr/>
        <w:t>“</w:t>
      </w:r>
      <w:r>
        <w:rPr>
          <w:rFonts w:ascii="Times New Roman" w:hAnsi="Times New Roman"/>
          <w:sz w:val="20"/>
        </w:rPr>
        <w:t xml:space="preserve">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 as the case may be. </w:t>
      </w:r>
    </w:p>
    <w:p>
      <w:pPr>
        <w:pStyle w:val="TextBody"/>
        <w:bidi w:val="0"/>
        <w:spacing w:before="240" w:after="0"/>
        <w:jc w:val="left"/>
        <w:rPr/>
      </w:pPr>
      <w:r>
        <w:rPr/>
        <w:t>“</w:t>
      </w:r>
      <w:r>
        <w:rPr>
          <w:rFonts w:ascii="Times New Roman" w:hAnsi="Times New Roman"/>
          <w:sz w:val="20"/>
        </w:rPr>
        <w:t xml:space="preserve">rate(s) of exchange” has the meaning specified in Section 1.14. </w:t>
      </w:r>
    </w:p>
    <w:p>
      <w:pPr>
        <w:pStyle w:val="TextBody"/>
        <w:bidi w:val="0"/>
        <w:spacing w:before="240" w:after="0"/>
        <w:jc w:val="left"/>
        <w:rPr/>
      </w:pPr>
      <w:r>
        <w:rPr/>
        <w:t>“</w:t>
      </w:r>
      <w:r>
        <w:rPr>
          <w:rFonts w:ascii="Times New Roman" w:hAnsi="Times New Roman"/>
          <w:sz w:val="20"/>
        </w:rPr>
        <w:t xml:space="preserve">Redemption Date”, when used with respect to any Security to be redeemed, in whole or in part, means the date fixed for such redemption by or pursuant to this Indenture. </w:t>
      </w:r>
    </w:p>
    <w:p>
      <w:pPr>
        <w:pStyle w:val="TextBody"/>
        <w:bidi w:val="0"/>
        <w:spacing w:before="240" w:after="0"/>
        <w:jc w:val="left"/>
        <w:rPr/>
      </w:pPr>
      <w:r>
        <w:rPr/>
        <w:t>“</w:t>
      </w:r>
      <w:r>
        <w:rPr>
          <w:rFonts w:ascii="Times New Roman" w:hAnsi="Times New Roman"/>
          <w:sz w:val="20"/>
        </w:rPr>
        <w:t xml:space="preserve">Redemption Price”, when used with respect to any Security to be redeemed, in whole or in part, means the price at which it is to be redeemed pursuant to this Indenture, plus accrued and unpaid interest thereon to the Redemption Date. </w:t>
      </w:r>
    </w:p>
    <w:p>
      <w:pPr>
        <w:pStyle w:val="TextBody"/>
        <w:bidi w:val="0"/>
        <w:spacing w:before="240" w:after="0"/>
        <w:jc w:val="left"/>
        <w:rPr/>
      </w:pPr>
      <w:r>
        <w:rPr/>
        <w:t>“</w:t>
      </w:r>
      <w:r>
        <w:rPr>
          <w:rFonts w:ascii="Times New Roman" w:hAnsi="Times New Roman"/>
          <w:sz w:val="20"/>
        </w:rPr>
        <w:t xml:space="preserve">Registered Security” means any Security registered in the Security Register. </w:t>
      </w:r>
    </w:p>
    <w:p>
      <w:pPr>
        <w:pStyle w:val="TextBody"/>
        <w:bidi w:val="0"/>
        <w:spacing w:before="240" w:after="0"/>
        <w:jc w:val="left"/>
        <w:rPr/>
      </w:pPr>
      <w:r>
        <w:rPr/>
        <w:t>“</w:t>
      </w:r>
      <w:r>
        <w:rPr>
          <w:rFonts w:ascii="Times New Roman" w:hAnsi="Times New Roman"/>
          <w:sz w:val="20"/>
        </w:rPr>
        <w:t xml:space="preserve">Regular Record Date” for the interest payable on any Interest Payment Date on the Registered Securities of or within any series means the date specified for that purpose as contemplated by Section 3.01. </w:t>
      </w:r>
    </w:p>
    <w:p>
      <w:pPr>
        <w:pStyle w:val="TextBody"/>
        <w:bidi w:val="0"/>
        <w:spacing w:before="240" w:after="0"/>
        <w:jc w:val="left"/>
        <w:rPr/>
      </w:pPr>
      <w:r>
        <w:rPr/>
        <w:t>“</w:t>
      </w:r>
      <w:r>
        <w:rPr>
          <w:rFonts w:ascii="Times New Roman" w:hAnsi="Times New Roman"/>
          <w:sz w:val="20"/>
        </w:rPr>
        <w:t xml:space="preserve">Repayment Date” means, when used with respect to any Security to be repaid at the option of the Holder, the date fixed for such repayment pursuant to this Indenture. </w:t>
      </w:r>
    </w:p>
    <w:p>
      <w:pPr>
        <w:pStyle w:val="TextBody"/>
        <w:bidi w:val="0"/>
        <w:spacing w:before="240" w:after="0"/>
        <w:jc w:val="left"/>
        <w:rPr/>
      </w:pPr>
      <w:r>
        <w:rPr/>
        <w:t>“</w:t>
      </w:r>
      <w:r>
        <w:rPr>
          <w:rFonts w:ascii="Times New Roman" w:hAnsi="Times New Roman"/>
          <w:sz w:val="20"/>
        </w:rPr>
        <w:t xml:space="preserve">Repayment Price” means, when used with respect to any Security to be repaid at the option of the Holder, the price at which it is to be repaid pursuant to this Indenture. </w:t>
      </w:r>
    </w:p>
    <w:p>
      <w:pPr>
        <w:pStyle w:val="TextBody"/>
        <w:bidi w:val="0"/>
        <w:spacing w:before="240" w:after="0"/>
        <w:jc w:val="left"/>
        <w:rPr/>
      </w:pPr>
      <w:r>
        <w:rPr/>
        <w:t>“</w:t>
      </w:r>
      <w:r>
        <w:rPr>
          <w:rFonts w:ascii="Times New Roman" w:hAnsi="Times New Roman"/>
          <w:sz w:val="20"/>
        </w:rPr>
        <w:t xml:space="preserve">Responsible Officer”, when used with respect to a Trustee, means any vice president, secretary, any assistant secretary, treasurer, any assistant treasurer, any senior trust officer, any trust officer, the controller within the corporate trust administration division of a Trustee or any other officer of a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 </w:t>
      </w:r>
    </w:p>
    <w:p>
      <w:pPr>
        <w:pStyle w:val="TextBody"/>
        <w:bidi w:val="0"/>
        <w:spacing w:before="240" w:after="0"/>
        <w:jc w:val="left"/>
        <w:rPr/>
      </w:pPr>
      <w:r>
        <w:rPr/>
        <w:t>“</w:t>
      </w:r>
      <w:r>
        <w:rPr>
          <w:rFonts w:ascii="Times New Roman" w:hAnsi="Times New Roman"/>
          <w:sz w:val="20"/>
        </w:rPr>
        <w:t xml:space="preserve">Securities” has the meaning stated in the first recital of this Indenture and more particularly means any Securities authenticated and delivered under this Indenture; </w:t>
      </w:r>
      <w:r>
        <w:rPr>
          <w:rFonts w:ascii="Times New Roman" w:hAnsi="Times New Roman"/>
          <w:sz w:val="20"/>
          <w:u w:val="single"/>
        </w:rPr>
        <w:t>provided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however</w:t>
      </w:r>
      <w:r>
        <w:rPr>
          <w:rFonts w:ascii="Times New Roman" w:hAnsi="Times New Roman"/>
          <w:sz w:val="20"/>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 </w:t>
      </w:r>
    </w:p>
    <w:p>
      <w:pPr>
        <w:pStyle w:val="TextBody"/>
        <w:bidi w:val="0"/>
        <w:spacing w:before="240" w:after="0"/>
        <w:jc w:val="left"/>
        <w:rPr/>
      </w:pPr>
      <w:r>
        <w:rPr/>
        <w:t>“</w:t>
      </w:r>
      <w:r>
        <w:rPr>
          <w:rFonts w:ascii="Times New Roman" w:hAnsi="Times New Roman"/>
          <w:sz w:val="20"/>
        </w:rPr>
        <w:t xml:space="preserve">Security Register” and “Security Registrar” have the respective meanings specified in Section 3.05. </w:t>
      </w:r>
    </w:p>
    <w:p>
      <w:pPr>
        <w:pStyle w:val="TextBody"/>
        <w:bidi w:val="0"/>
        <w:spacing w:before="240" w:after="0"/>
        <w:jc w:val="left"/>
        <w:rPr/>
      </w:pPr>
      <w:r>
        <w:rPr/>
        <w:t>“</w:t>
      </w:r>
      <w:r>
        <w:rPr>
          <w:rFonts w:ascii="Times New Roman" w:hAnsi="Times New Roman"/>
          <w:sz w:val="20"/>
        </w:rPr>
        <w:t xml:space="preserve">Shareholders’ Equity” means the aggregate amount of shareholders’ equity of the Company as shown on the most recent audited annual consolidated balance sheet of the Company and computed in accordance with GAAP. </w:t>
      </w:r>
    </w:p>
    <w:p>
      <w:pPr>
        <w:pStyle w:val="TextBody"/>
        <w:bidi w:val="0"/>
        <w:spacing w:before="240" w:after="0"/>
        <w:jc w:val="left"/>
        <w:rPr/>
      </w:pPr>
      <w:r>
        <w:rPr/>
        <w:t>“</w:t>
      </w:r>
      <w:r>
        <w:rPr>
          <w:rFonts w:ascii="Times New Roman" w:hAnsi="Times New Roman"/>
          <w:sz w:val="20"/>
        </w:rPr>
        <w:t xml:space="preserve">Special Record Date” for the payment of any Defaulted Interest on the Registered Securities of or within any series means a date fixed by the Trustees pursuant to Section 3.07. </w:t>
      </w:r>
    </w:p>
    <w:p>
      <w:pPr>
        <w:pStyle w:val="TextBody"/>
        <w:bidi w:val="0"/>
        <w:spacing w:before="240" w:after="0"/>
        <w:jc w:val="left"/>
        <w:rPr/>
      </w:pPr>
      <w:r>
        <w:rPr/>
        <w:t>“</w:t>
      </w:r>
      <w:r>
        <w:rPr>
          <w:rFonts w:ascii="Times New Roman" w:hAnsi="Times New Roman"/>
          <w:sz w:val="20"/>
        </w:rPr>
        <w:t xml:space="preserve">Specified Amount” has the meaning specified in Section 3.12(h). </w:t>
      </w:r>
    </w:p>
    <w:p>
      <w:pPr>
        <w:pStyle w:val="TextBody"/>
        <w:bidi w:val="0"/>
        <w:spacing w:before="240" w:after="0"/>
        <w:jc w:val="left"/>
        <w:rPr/>
      </w:pPr>
      <w:r>
        <w:rPr/>
        <w:t>“</w:t>
      </w:r>
      <w:r>
        <w:rPr>
          <w:rFonts w:ascii="Times New Roman" w:hAnsi="Times New Roman"/>
          <w:sz w:val="20"/>
        </w:rPr>
        <w:t xml:space="preserve">Stated Maturity”,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 as such date may be extended pursuant to the provisions of Section 3.08. </w:t>
      </w:r>
    </w:p>
    <w:p>
      <w:pPr>
        <w:pStyle w:val="TextBody"/>
        <w:bidi w:val="0"/>
        <w:spacing w:before="240" w:after="0"/>
        <w:jc w:val="left"/>
        <w:rPr/>
      </w:pPr>
      <w:r>
        <w:rPr/>
        <w:t>“</w:t>
      </w:r>
      <w:r>
        <w:rPr>
          <w:rFonts w:ascii="Times New Roman" w:hAnsi="Times New Roman"/>
          <w:sz w:val="20"/>
        </w:rPr>
        <w:t xml:space="preserve">Subsidiary” means, any corporation of which at the time of determination the Company, directly and/or indirectly through one or more Subsidiaries, owns more than 50% of the shares of Voting Stock or partnership, joint venture, limited liability company, association, company or business trust interests. </w:t>
      </w:r>
    </w:p>
    <w:p>
      <w:pPr>
        <w:pStyle w:val="TextBody"/>
        <w:bidi w:val="0"/>
        <w:spacing w:before="240" w:after="0"/>
        <w:jc w:val="left"/>
        <w:rPr/>
      </w:pPr>
      <w:r>
        <w:rPr/>
        <w:t>“</w:t>
      </w:r>
      <w:r>
        <w:rPr>
          <w:rFonts w:ascii="Times New Roman" w:hAnsi="Times New Roman"/>
          <w:sz w:val="20"/>
        </w:rPr>
        <w:t xml:space="preserve">Trust Indenture Act” or “TIA” means the United States Trust Indenture Act of 1939, as amended, as in force at the date as of which this Indenture was executed, except as provided in Section 9.05. Whenever this Indenture refers to a provision of the TIA, the provision is incorporated by reference in and made a part of this Indenture. </w:t>
      </w:r>
    </w:p>
    <w:p>
      <w:pPr>
        <w:pStyle w:val="TextBody"/>
        <w:bidi w:val="0"/>
        <w:spacing w:before="240" w:after="0"/>
        <w:jc w:val="left"/>
        <w:rPr/>
      </w:pPr>
      <w:r>
        <w:rPr/>
        <w:t>“</w:t>
      </w:r>
      <w:r>
        <w:rPr>
          <w:rFonts w:ascii="Times New Roman" w:hAnsi="Times New Roman"/>
          <w:sz w:val="20"/>
        </w:rPr>
        <w:t xml:space="preserve">Trust Indenture Legislation” means, at any time, the provisions of (i) the BCBCA and the regulations thereunder as amended or re-enacted from time to time, but only to the extent applicable, (ii) the provisions of any other applicable statute of Canada or any province thereof and the regulations thereunder as amended or re-enacted from time to time, but only to the extent applicable, or (iii) the Trust Indenture Act and regulations thereunder, in each case, relating to trust indentures and to the rights, duties and obligations of trustees under trust indentures and of corporations issuing debt obligations under trust indentures, to the extent that such provisions are at such time in force and applicable to this Indenture or the Company or the Trustees. </w:t>
      </w:r>
    </w:p>
    <w:p>
      <w:pPr>
        <w:pStyle w:val="TextBody"/>
        <w:bidi w:val="0"/>
        <w:spacing w:before="240" w:after="0"/>
        <w:jc w:val="left"/>
        <w:rPr/>
      </w:pPr>
      <w:r>
        <w:rPr/>
        <w:t>“</w:t>
      </w:r>
      <w:r>
        <w:rPr>
          <w:rFonts w:ascii="Times New Roman" w:hAnsi="Times New Roman"/>
          <w:sz w:val="20"/>
        </w:rPr>
        <w:t xml:space="preserve">Trustee” or “Trustees” means the U.S. Trustee and the Canadian Trustee. If a Canadian Trustee is not appointed under this Indenture, or resigns or is removed and, pursuant to Section 6.09, the Company is not required to appoint a successor Trustee to the Canadian Trustee, “Trustee”, “Trustees” and any reference to “either Trustee”, “both of the Trustees” or such similar references shall mean the Person named as the U.S. Trustee or any successor thereto appointed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applicable provisions of this Indenture. Except to the extent otherwise indicated, “Trustees” shall refer to the Canadian Trustee (if appointed and still serving) and the U.S. Trustee, both jointly and individually. </w:t>
      </w:r>
    </w:p>
    <w:p>
      <w:pPr>
        <w:pStyle w:val="TextBody"/>
        <w:bidi w:val="0"/>
        <w:spacing w:before="240" w:after="0"/>
        <w:jc w:val="left"/>
        <w:rPr/>
      </w:pPr>
      <w:r>
        <w:rPr/>
        <w:t>“</w:t>
      </w:r>
      <w:r>
        <w:rPr>
          <w:rFonts w:ascii="Times New Roman" w:hAnsi="Times New Roman"/>
          <w:sz w:val="20"/>
        </w:rPr>
        <w:t xml:space="preserve">UCC” means the New York uniform commercial code in effect from time to time. </w:t>
      </w:r>
    </w:p>
    <w:p>
      <w:pPr>
        <w:pStyle w:val="TextBody"/>
        <w:bidi w:val="0"/>
        <w:spacing w:before="240" w:after="0"/>
        <w:jc w:val="left"/>
        <w:rPr/>
      </w:pPr>
      <w:r>
        <w:rPr/>
        <w:t>“</w:t>
      </w:r>
      <w:r>
        <w:rPr>
          <w:rFonts w:ascii="Times New Roman" w:hAnsi="Times New Roman"/>
          <w:sz w:val="20"/>
        </w:rPr>
        <w:t xml:space="preserve">U.S. Federal Bankruptcy Code” means the Bankruptcy Act of Title 11 of the United States Code, as amended from time to time. </w:t>
      </w:r>
    </w:p>
    <w:p>
      <w:pPr>
        <w:pStyle w:val="TextBody"/>
        <w:bidi w:val="0"/>
        <w:spacing w:before="240" w:after="0"/>
        <w:jc w:val="left"/>
        <w:rPr/>
      </w:pPr>
      <w:r>
        <w:rPr/>
        <w:t>“</w:t>
      </w:r>
      <w:r>
        <w:rPr>
          <w:rFonts w:ascii="Times New Roman" w:hAnsi="Times New Roman"/>
          <w:sz w:val="20"/>
        </w:rPr>
        <w:t xml:space="preserve">U.S. Trustee” means the Person named as the “U.S. Trustee” in the first paragraph of this Indenture until a successor U.S. Trustee shall have become such pursuant to the applicable provisions of this Indenture, and thereafter “U.S. Trustee” shall mean or include each Person who is then a U.S. Trustee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there is more than one such Person, “U.S. Trustee” as used with respect to the Securities of any series shall mean only the U.S. Trustee with respect to Securities of that series. </w:t>
      </w:r>
    </w:p>
    <w:p>
      <w:pPr>
        <w:pStyle w:val="TextBody"/>
        <w:bidi w:val="0"/>
        <w:spacing w:before="240" w:after="0"/>
        <w:jc w:val="left"/>
        <w:rPr/>
      </w:pPr>
      <w:r>
        <w:rPr/>
        <w:t>“</w:t>
      </w:r>
      <w:r>
        <w:rPr>
          <w:rFonts w:ascii="Times New Roman" w:hAnsi="Times New Roman"/>
          <w:sz w:val="20"/>
        </w:rPr>
        <w:t xml:space="preserve">United States” means, unless otherwise specified with respect to any Securities pursuant to Section 3.01, the United States of America (including the states and the District of Columbia), its territories, its possessions and other areas subject to its jurisdiction. </w:t>
      </w:r>
    </w:p>
    <w:p>
      <w:pPr>
        <w:pStyle w:val="TextBody"/>
        <w:bidi w:val="0"/>
        <w:spacing w:before="240" w:after="0"/>
        <w:jc w:val="left"/>
        <w:rPr/>
      </w:pPr>
      <w:r>
        <w:rPr/>
        <w:t>“</w:t>
      </w:r>
      <w:r>
        <w:rPr>
          <w:rFonts w:ascii="Times New Roman" w:hAnsi="Times New Roman"/>
          <w:sz w:val="20"/>
        </w:rPr>
        <w:t xml:space="preserve">United States person” means, unless otherwise specified with respect to any Securities pursuant to Section 3.01, an individual who is a citizen or resident of the United States, a corporation, partnership or other entity created or organized in or under the laws of the United States, an estate the income of which is subject to United States federal income taxation regardless of its source, or a trust if (A) it is subject to the primary supervision of a court within the United States and one or more United States persons have the authority to control all substantial decisions of the trust or (B) it has a valid election in effect under applicable Treasury Regulations to be treated as a United States person. </w:t>
      </w:r>
    </w:p>
    <w:p>
      <w:pPr>
        <w:pStyle w:val="TextBody"/>
        <w:bidi w:val="0"/>
        <w:spacing w:before="240" w:after="0"/>
        <w:jc w:val="left"/>
        <w:rPr/>
      </w:pPr>
      <w:r>
        <w:rPr/>
        <w:t>“</w:t>
      </w:r>
      <w:r>
        <w:rPr>
          <w:rFonts w:ascii="Times New Roman" w:hAnsi="Times New Roman"/>
          <w:sz w:val="20"/>
        </w:rPr>
        <w:t xml:space="preserve">Valuation Date” has the meaning specified in Section 3.12(c). </w:t>
      </w:r>
    </w:p>
    <w:p>
      <w:pPr>
        <w:pStyle w:val="TextBody"/>
        <w:bidi w:val="0"/>
        <w:spacing w:before="240" w:after="0"/>
        <w:jc w:val="left"/>
        <w:rPr/>
      </w:pPr>
      <w:r>
        <w:rPr/>
        <w:t>“</w:t>
      </w:r>
      <w:r>
        <w:rPr>
          <w:rFonts w:ascii="Times New Roman" w:hAnsi="Times New Roman"/>
          <w:sz w:val="20"/>
        </w:rPr>
        <w:t xml:space="preserve">Vice President”, when used with respect to the Trustees, means any vice president, whether or not designated by a number or a word or words added before or after the title “vice president”. </w:t>
      </w:r>
    </w:p>
    <w:p>
      <w:pPr>
        <w:pStyle w:val="TextBody"/>
        <w:bidi w:val="0"/>
        <w:spacing w:before="240" w:after="0"/>
        <w:jc w:val="left"/>
        <w:rPr/>
      </w:pPr>
      <w:r>
        <w:rPr/>
        <w:t>“</w:t>
      </w:r>
      <w:r>
        <w:rPr>
          <w:rFonts w:ascii="Times New Roman" w:hAnsi="Times New Roman"/>
          <w:sz w:val="20"/>
        </w:rPr>
        <w:t xml:space="preserve">Voting Stock” means with respect to any Person, securities of any class or classes of Capital Stock in such Person entitling the holder thereof (whether at all times or at the time that such class of Capital Stock has voting power by reason of the happening of any contingency) to vote in the election of members of the board of directors or comparable body of such Person. </w:t>
      </w:r>
    </w:p>
    <w:p>
      <w:pPr>
        <w:pStyle w:val="TextBody"/>
        <w:bidi w:val="0"/>
        <w:spacing w:before="240" w:after="0"/>
        <w:jc w:val="left"/>
        <w:rPr/>
      </w:pPr>
      <w:r>
        <w:rPr/>
        <w:t>“</w:t>
      </w:r>
      <w:r>
        <w:rPr>
          <w:rFonts w:ascii="Times New Roman" w:hAnsi="Times New Roman"/>
          <w:sz w:val="20"/>
        </w:rPr>
        <w:t xml:space="preserve">Writing” has the meaning specified in Section 6.13. </w:t>
      </w:r>
    </w:p>
    <w:p>
      <w:pPr>
        <w:pStyle w:val="TextBody"/>
        <w:bidi w:val="0"/>
        <w:spacing w:before="240" w:after="0"/>
        <w:jc w:val="left"/>
        <w:rPr/>
      </w:pPr>
      <w:r>
        <w:rPr/>
        <w:t>“</w:t>
      </w:r>
      <w:r>
        <w:rPr>
          <w:rFonts w:ascii="Times New Roman" w:hAnsi="Times New Roman"/>
          <w:sz w:val="20"/>
        </w:rPr>
        <w:t xml:space="preserve">Yield to Maturity” means the yield to maturity, computed at the time of issuance of a Security (or, if applicable, at the most recent redetermination of interest on such Security) and as set forth in such Security in accordance with generally accepted United States bond yield computation principles.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1.02 Compliance Certificates and Opinions.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any application or request by the Company to the Trustees to take any action under any provision of this Indenture, the Company shall furnish to the Trustees an Officers’ Certificate stating that all conditions precedent, if any, provided for in this Indenture (including any covenant compliance with which constitutes a condition precedent) relating to the proposed action have been complied with and, if requested by the Trustee,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Every certificate or opinion with respect to compliance with a covenant or condition provided for in this Indenture (other than pursuant to Section 10.04) shall include: </w:t>
      </w:r>
    </w:p>
    <w:p>
      <w:pPr>
        <w:pStyle w:val="TextBody"/>
        <w:bidi w:val="0"/>
        <w:spacing w:before="120" w:after="0"/>
        <w:jc w:val="left"/>
        <w:rPr>
          <w:rFonts w:ascii="Times New Roman" w:hAnsi="Times New Roman"/>
          <w:sz w:val="20"/>
        </w:rPr>
      </w:pPr>
      <w:r>
        <w:rPr>
          <w:rFonts w:ascii="Times New Roman" w:hAnsi="Times New Roman"/>
          <w:sz w:val="20"/>
        </w:rPr>
        <w:t xml:space="preserve">(i) a statement that each individual signing such certificate or opinion has read such covenant or condition and the definitions herein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(ii) a brief statement as to the nature and scope of the examination or investigation upon which the statements or opinions contained in such certificate or opinion are based; </w:t>
      </w:r>
    </w:p>
    <w:p>
      <w:pPr>
        <w:pStyle w:val="TextBody"/>
        <w:bidi w:val="0"/>
        <w:spacing w:before="120" w:after="0"/>
        <w:jc w:val="left"/>
        <w:rPr>
          <w:rFonts w:ascii="Times New Roman" w:hAnsi="Times New Roman"/>
          <w:sz w:val="20"/>
        </w:rPr>
      </w:pPr>
      <w:r>
        <w:rPr>
          <w:rFonts w:ascii="Times New Roman" w:hAnsi="Times New Roman"/>
          <w:sz w:val="20"/>
        </w:rPr>
        <w:t xml:space="preserve">(iii) a statement that, in the opinion of each such individual, he has made such examination or investigation as is necessary to enable him to express an informed opinion as to whether or not such covenant or condition has been complied with; and </w:t>
      </w:r>
    </w:p>
    <w:p>
      <w:pPr>
        <w:pStyle w:val="TextBody"/>
        <w:bidi w:val="0"/>
        <w:spacing w:before="120" w:after="0"/>
        <w:jc w:val="left"/>
        <w:rPr>
          <w:rFonts w:ascii="Times New Roman" w:hAnsi="Times New Roman"/>
          <w:sz w:val="20"/>
        </w:rPr>
      </w:pPr>
      <w:r>
        <w:rPr>
          <w:rFonts w:ascii="Times New Roman" w:hAnsi="Times New Roman"/>
          <w:sz w:val="20"/>
        </w:rPr>
        <w:t xml:space="preserve">(iv) a statement as to whether, in the opinion of each such individual, such covenant or condition has been complied with.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1.03 Form of Documents Delivered to Trustees. </w:t>
      </w:r>
    </w:p>
    <w:p>
      <w:pPr>
        <w:pStyle w:val="TextBody"/>
        <w:bidi w:val="0"/>
        <w:spacing w:before="120" w:after="0"/>
        <w:jc w:val="left"/>
        <w:rPr>
          <w:rFonts w:ascii="Times New Roman" w:hAnsi="Times New Roman"/>
          <w:sz w:val="20"/>
        </w:rPr>
      </w:pPr>
      <w:r>
        <w:rPr>
          <w:rFonts w:ascii="Times New Roman" w:hAnsi="Times New Roman"/>
          <w:sz w:val="20"/>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 officer of the Company may be based, insofar as it relates to legal matters, upon an Opinion of Counsel, a certificate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 officer of the Company or of counsel may be based, insofar as it relates to accounting matters, upon a certificate or opinion of, or representations by,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accountant or firm of accountants in the employ of the Company, unless such officer or counsel, as the case may be, knows, or in the exercise of reasonable care should know, that the certificate or opinion or representations with respect to the accounting matters upon which such certificate or opinion may be based are erroneous. Any certificate or opinion of any independent firm of public accountants filed with the Trustees shall contain a statement that such firm is independent. </w:t>
      </w:r>
    </w:p>
    <w:p>
      <w:pPr>
        <w:pStyle w:val="TextBody"/>
        <w:bidi w:val="0"/>
        <w:spacing w:before="24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1.04 Acts of Holders. </w:t>
      </w:r>
    </w:p>
    <w:p>
      <w:pPr>
        <w:pStyle w:val="TextBody"/>
        <w:bidi w:val="0"/>
        <w:spacing w:before="12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Trustees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Trustees and the Company, if made in the manner provided in this Section. The record of any meeting of Holders of Securities shall be proved in the manner provided in Section 15.06. </w:t>
      </w:r>
    </w:p>
    <w:p>
      <w:pPr>
        <w:pStyle w:val="TextBody"/>
        <w:bidi w:val="0"/>
        <w:spacing w:before="12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in any reasonable manner which the Trustees deem sufficient. </w:t>
      </w:r>
    </w:p>
    <w:p>
      <w:pPr>
        <w:pStyle w:val="TextBody"/>
        <w:bidi w:val="0"/>
        <w:spacing w:before="120" w:after="0"/>
        <w:jc w:val="left"/>
        <w:rPr>
          <w:rFonts w:ascii="Times New Roman" w:hAnsi="Times New Roman"/>
          <w:sz w:val="20"/>
        </w:rPr>
      </w:pPr>
      <w:r>
        <w:rPr>
          <w:rFonts w:ascii="Times New Roman" w:hAnsi="Times New Roman"/>
          <w:sz w:val="20"/>
        </w:rPr>
        <w:t xml:space="preserve">(c) The principal amount and serial numbers of Registered Securities held by any Person, and the date of holding the same, shall be proved by the Security Register. </w:t>
      </w:r>
    </w:p>
    <w:p>
      <w:pPr>
        <w:pStyle w:val="TextBody"/>
        <w:bidi w:val="0"/>
        <w:spacing w:before="120" w:after="0"/>
        <w:jc w:val="left"/>
        <w:rPr>
          <w:rFonts w:ascii="Times New Roman" w:hAnsi="Times New Roman"/>
          <w:sz w:val="20"/>
        </w:rPr>
      </w:pPr>
      <w:r>
        <w:rPr>
          <w:rFonts w:ascii="Times New Roman" w:hAnsi="Times New Roman"/>
          <w:sz w:val="20"/>
        </w:rPr>
        <w:t xml:space="preserve">(d) The principal amount and serial numbers of Bearer Securities held by any Person, and the date of holding the same, may be proved by the production of such Bearer Securities or by a certificate executed, as depositary, by any trust company, bank, banker or other depositary, wherever situated, if such certificate shall be deemed by the Trustees to be satisfactory, showing that at the date therein mentioned such Person had on deposit with such depositary, or exhibited to it, the Bearer Securities therein described; or such facts may be proved by the certificate or affidavit of the Person holding such Bearer Securities, if such certificate or affidavit is deemed by the Trustees to be satisfactory. The Trustees and the Company may assume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ownership of any Bearer Security continues until (1) another certificate or affidavit bearing a later date issued in respect of the same Bearer Security is produced, or (2) such Bearer Security is produced to the Trustees by some other Person, or (3) such Bearer Security is surrendered in exchange for a Registered Security, or (4) such Bearer Security is no longer Outstanding. The principal amount and serial numbers of Bearer Securities held by any Person, and the date of holding the same, may also be proved in any other manner that the Trustees deem sufficient. </w:t>
      </w:r>
    </w:p>
    <w:p>
      <w:pPr>
        <w:pStyle w:val="TextBody"/>
        <w:bidi w:val="0"/>
        <w:spacing w:before="120" w:after="0"/>
        <w:jc w:val="left"/>
        <w:rPr>
          <w:rFonts w:ascii="Times New Roman" w:hAnsi="Times New Roman"/>
          <w:sz w:val="20"/>
        </w:rPr>
      </w:pPr>
      <w:r>
        <w:rPr>
          <w:rFonts w:ascii="Times New Roman" w:hAnsi="Times New Roman"/>
          <w:sz w:val="20"/>
        </w:rPr>
        <w:t xml:space="preserve">(e) If the Company shall solicit from the Holders of Registered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Notwithstanding Trust Indenture Legislation,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eleven months after the record date. </w:t>
      </w:r>
    </w:p>
    <w:p>
      <w:pPr>
        <w:pStyle w:val="TextBody"/>
        <w:bidi w:val="0"/>
        <w:spacing w:before="120" w:after="0"/>
        <w:jc w:val="left"/>
        <w:rPr>
          <w:rFonts w:ascii="Times New Roman" w:hAnsi="Times New Roman"/>
          <w:sz w:val="20"/>
        </w:rPr>
      </w:pPr>
      <w:r>
        <w:rPr>
          <w:rFonts w:ascii="Times New Roman" w:hAnsi="Times New Roman"/>
          <w:sz w:val="20"/>
        </w:rPr>
        <w:t xml:space="preserve">(f)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Trustees or the Company in reliance thereon, whether or not notation of such action is made upon such Security.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1.05 Notices, etc. to Trustees and Company. </w:t>
      </w:r>
    </w:p>
    <w:p>
      <w:pPr>
        <w:pStyle w:val="TextBody"/>
        <w:bidi w:val="0"/>
        <w:spacing w:before="120" w:after="0"/>
        <w:jc w:val="left"/>
        <w:rPr>
          <w:rFonts w:ascii="Times New Roman" w:hAnsi="Times New Roman"/>
          <w:sz w:val="20"/>
        </w:rPr>
      </w:pPr>
      <w:r>
        <w:rPr>
          <w:rFonts w:ascii="Times New Roman" w:hAnsi="Times New Roman"/>
          <w:sz w:val="20"/>
        </w:rPr>
        <w:t xml:space="preserve">Any request, demand, authorization, direction, notice, consent, waiver or Act of Holders or other documents provided or permitted by this Indenture to be made upon, given or furnished to, or filed with, </w:t>
      </w:r>
    </w:p>
    <w:p>
      <w:pPr>
        <w:pStyle w:val="TextBody"/>
        <w:bidi w:val="0"/>
        <w:spacing w:before="120" w:after="0"/>
        <w:jc w:val="left"/>
        <w:rPr>
          <w:rFonts w:ascii="Times New Roman" w:hAnsi="Times New Roman"/>
          <w:sz w:val="20"/>
        </w:rPr>
      </w:pPr>
      <w:r>
        <w:rPr>
          <w:rFonts w:ascii="Times New Roman" w:hAnsi="Times New Roman"/>
          <w:sz w:val="20"/>
        </w:rPr>
        <w:t xml:space="preserve">(i) the U.S. Trustee, by the Canadian Trustee, any Holder or by the Company shall be sufficient for every purpose hereunder if made, given, furnished or filed in writing to or with the U.S. Trustee at its Corporate Trust Office, Attention: [Corporate Trust Department], or </w:t>
      </w:r>
    </w:p>
    <w:p>
      <w:pPr>
        <w:pStyle w:val="TextBody"/>
        <w:bidi w:val="0"/>
        <w:spacing w:before="120" w:after="0"/>
        <w:jc w:val="left"/>
        <w:rPr>
          <w:rFonts w:ascii="Times New Roman" w:hAnsi="Times New Roman"/>
          <w:sz w:val="20"/>
        </w:rPr>
      </w:pPr>
      <w:r>
        <w:rPr>
          <w:rFonts w:ascii="Times New Roman" w:hAnsi="Times New Roman"/>
          <w:sz w:val="20"/>
        </w:rPr>
        <w:t xml:space="preserve">(ii) the Canadian Trustee, by the U.S. Trustee, any Holder or by the Company shall be sufficient for every purpose hereunder if made, given, furnished or filed in writing to or with the Canadian Trustee at its Corporate Trust Office, Attention: [Manager, Corporate Trust], Facsimile No. [],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Company by either Trustee or any Holder shall be sufficient for every purpose hereunder (unless otherwise herein expressly provided). If in writing and mailed, first-class postage prepaid, to the Company, Attention: [Chief Financial Officer], Facsimile No: [] or such other officer or facsimile number as the Company may designate on written notice to the Trustees, addressed to it at the address of its principal office specified in the first paragraph of this Indenture or at any other address previously furnished in writing to the Trustees by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1.06 Notice to Holders; Waiver. </w:t>
      </w:r>
    </w:p>
    <w:p>
      <w:pPr>
        <w:pStyle w:val="TextBody"/>
        <w:bidi w:val="0"/>
        <w:spacing w:before="120" w:after="0"/>
        <w:jc w:val="left"/>
        <w:rPr>
          <w:rFonts w:ascii="Times New Roman" w:hAnsi="Times New Roman"/>
          <w:sz w:val="20"/>
        </w:rPr>
      </w:pPr>
      <w:r>
        <w:rPr>
          <w:rFonts w:ascii="Times New Roman" w:hAnsi="Times New Roman"/>
          <w:sz w:val="20"/>
        </w:rPr>
        <w:t xml:space="preserve">Where this Indenture provides for notice of any event to Holders of Registered Securities by the Company or the Trustees, such notice shall be sufficiently given (unless otherwise herein expressly provided) if in writing and mailed, first-class postage prepaid, to each such Holder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Any notice mailed to a Holder in the manner herein prescribed shall be conclusively deemed to have been received by such Holder, whether or not such Holder actually receives such notice.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or irregularities in regular mail service or by reason of any other cause, it shall be impractical to mail notice of any event to Holders of Registered Securities when such notice is required to be given pursuant to any provision of this Indenture, then any manner of giving such notice as shall be directed by the Company shall be deemed to be sufficient giving of such notice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or otherwise specified with respect to any Securities pursuant to Section 3.01, where this Indenture provides for notice to Holders of Bearer Securities of any event, such notice shall be sufficiently given to Holders of Bearer Securities if published in an Authorized Newspaper in the City of New York and in such other city or cities as may be specified in such Securities on a Business Day at least twice, the first such publication to be not earlier than the earliest date, and not later than the latest date, prescribed for the giving of such notice. Any such notice shall be deemed to have been given on the date of the first such publication.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directed by the Company shall constitute sufficient notice to such Holders for every purpose hereunder. Neither the failure to give notice by publication to Holders of Bearer Securities as provided above, nor any defect in any notice so published, shall affect the sufficiency of such notice with respect to other Holders of Bearer Securities or the sufficiency of any notice to Holders of Registered Securities given as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request, demand, authorization, direction, notice, consent or waiver required or permitted under this Indenture shall be in the English language, except that any published notice may be in an official language of the country of publication.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Trustees, but such filing shall not be a condition precedent to the validity of any action taken in reliance upon such waiver.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1.07 Effect of Headings and Table of Contents. </w:t>
      </w:r>
    </w:p>
    <w:p>
      <w:pPr>
        <w:pStyle w:val="TextBody"/>
        <w:bidi w:val="0"/>
        <w:spacing w:before="120" w:after="0"/>
        <w:jc w:val="left"/>
        <w:rPr>
          <w:rFonts w:ascii="Times New Roman" w:hAnsi="Times New Roman"/>
          <w:sz w:val="20"/>
        </w:rPr>
      </w:pPr>
      <w:r>
        <w:rPr>
          <w:rFonts w:ascii="Times New Roman" w:hAnsi="Times New Roman"/>
          <w:sz w:val="20"/>
        </w:rPr>
        <w:t xml:space="preserve">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1.08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All covenants and agreements in this Indenture by the Company and the Trustees shall bind their successors and assigns, whether so expressed or not.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1.09 Severability Clause. </w:t>
      </w:r>
    </w:p>
    <w:p>
      <w:pPr>
        <w:pStyle w:val="TextBody"/>
        <w:bidi w:val="0"/>
        <w:spacing w:before="120" w:after="0"/>
        <w:jc w:val="left"/>
        <w:rPr>
          <w:rFonts w:ascii="Times New Roman" w:hAnsi="Times New Roman"/>
          <w:sz w:val="20"/>
        </w:rPr>
      </w:pPr>
      <w:r>
        <w:rPr>
          <w:rFonts w:ascii="Times New Roman" w:hAnsi="Times New Roman"/>
          <w:sz w:val="20"/>
        </w:rPr>
        <w:t xml:space="preserve">In case any provision in this Indenture or in any Security or coupon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 Benefits of Indenture. </w:t>
      </w:r>
    </w:p>
    <w:p>
      <w:pPr>
        <w:pStyle w:val="TextBody"/>
        <w:bidi w:val="0"/>
        <w:spacing w:before="120" w:after="0"/>
        <w:jc w:val="left"/>
        <w:rPr>
          <w:rFonts w:ascii="Times New Roman" w:hAnsi="Times New Roman"/>
          <w:sz w:val="20"/>
        </w:rPr>
      </w:pPr>
      <w:r>
        <w:rPr>
          <w:rFonts w:ascii="Times New Roman" w:hAnsi="Times New Roman"/>
          <w:sz w:val="20"/>
        </w:rPr>
        <w:t xml:space="preserve">Nothing in this Indenture or in the Securities or coupons, express or implied, shall give to any Person, other than the parties hereto, any Authenticating Agent, any Paying Agent, any Securities Registrar and their successors hereunder and the Holders of Securities or coupons, any benefit or any legal or equitable right, remedy or claim under this Indenture. Subject to Section 1.16, at all times in relation to this Indenture and any action to be taken hereunder, the Company and the Trustees each shall observe and comply with Trust Indenture Legislation and the Company, the Trustees and each Holder of a Security shall be entitled to the benefits of Trust Indenture Legislation.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1.11 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and the Securities and coupons shall be governed by and construed in accordance with the law of the State of New York, but without giving effect to applicable principles of conflicts of law to the extent that the application of the law of another jurisdiction would be required thereby. Each Trustee and the Company agrees to comply with all provisions of Trust Indenture Legislation applicable to or binding upon it in connection with this Indenture and any action to be taken hereunder. Notwithstanding the preceding sentence, the exercise, performance or discharge by the Canadian Trustee of any of its rights, powers, duties or responsibilities hereunder shall be construed in accordance with the laws of the Province of </w:t>
      </w:r>
      <w:r>
        <w:rPr>
          <w:rFonts w:ascii="Times New Roman" w:hAnsi="Times New Roman"/>
          <w:b/>
          <w:sz w:val="20"/>
        </w:rPr>
        <w:t>[British Columbia]</w:t>
      </w:r>
      <w:r>
        <w:rPr>
          <w:rFonts w:ascii="Times New Roman" w:hAnsi="Times New Roman"/>
          <w:sz w:val="20"/>
        </w:rPr>
        <w:t xml:space="preserve"> and the federal laws of Canada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1.12 Legal Holidays. </w:t>
      </w:r>
    </w:p>
    <w:p>
      <w:pPr>
        <w:pStyle w:val="TextBody"/>
        <w:bidi w:val="0"/>
        <w:spacing w:before="120" w:after="0"/>
        <w:jc w:val="left"/>
        <w:rPr>
          <w:rFonts w:ascii="Times New Roman" w:hAnsi="Times New Roman"/>
          <w:sz w:val="20"/>
        </w:rPr>
      </w:pPr>
      <w:r>
        <w:rPr>
          <w:rFonts w:ascii="Times New Roman" w:hAnsi="Times New Roman"/>
          <w:sz w:val="20"/>
        </w:rPr>
        <w:t xml:space="preserve">In any case where any Interest Payment Date, Redemption Date, sinking fund payment date or Stated Maturity or Maturity of any Security shall not be a Business Day at any Place of Payment or other location contemplated hereunder, then (notwithstanding any other provision of this Indenture or of any Security or coupon other than a provision in the Securities of any series which specifically states that such provision shall apply in lieu of this Section), payment of principal (or premium, if any) or interest, if any, need not be made at such Place of Payment or other location contemplated hereunder on such date, but may be made on the next succeeding Business Day at such Place of Payment or other location contemplated hereunder with the same force and effect as if made on the Interest Payment Date or Redemption Date or sinking fund payment date, or at the Stated Maturity or Maturity; provided that no interest shall accrue for the period from and after such Interest Payment Date, Redemption Date, sinking fund payment date, Stated Maturity or Maturity, as the case may be.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1.13 Agent for Service; Submission to Jurisdiction; Waiver of Immunities. </w:t>
      </w:r>
    </w:p>
    <w:p>
      <w:pPr>
        <w:pStyle w:val="TextBody"/>
        <w:bidi w:val="0"/>
        <w:spacing w:before="120" w:after="0"/>
        <w:jc w:val="left"/>
        <w:rPr>
          <w:rFonts w:ascii="Times New Roman" w:hAnsi="Times New Roman"/>
          <w:sz w:val="20"/>
        </w:rPr>
      </w:pPr>
      <w:r>
        <w:rPr>
          <w:rFonts w:ascii="Times New Roman" w:hAnsi="Times New Roman"/>
          <w:sz w:val="20"/>
        </w:rPr>
        <w:t xml:space="preserve">By the execution and delivery of this Indenture, the Company (i) acknowledges that it has irrevocably designated and appointed [] as its authorized agent upon which process may be served in any suit or proceeding arising out of or relating to the Securities or this Indenture that may be instituted in any federal or New York state court located in the Borough of Manhattan, the City of New York, or brought by the Trustees (whether in their individual capacity or in their capacity as Trustees hereunder), (ii) irrevocably submits to the non-exclusive jurisdiction of any such court in any such suit or proceeding, and (iii) agrees that service of process upon [] and written notice of said service to the Company (mailed or delivered to the Company, attention: [], at its principal office at 2198 Yukon Street, Vancouver, BC, V5Y 3P1, or as otherwise specified in Section 1.05 hereof),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 in full force and effect so long as this Indenture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Indenture and the Securities,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and unconditionally waives, to the fullest extent permitted by law, any objection that it may now or hereafter have to the laying of venue of any such action, suit or proceeding in any such court or any appellate court with respect thereto. The Company irrevocably waives, to the fullest extent permitted by law, the defense of an inconvenient forum to the maintenance of such action, suit or proceeding in any such court.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1.14 Conversion of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Company covenants and agrees that the following provisions shall apply to conversion of currency in the case of the Securities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 If for the purposes of obtaining judgment in, or enforcing the judgment of, any court in any country, it becomes necessary to convert into a currency (the “Judgment Currency”) an amount due or contingently due in any other currency under the Securities of any series and this Indenture (the “Base Currency”), then the conversion shall be made at the rate of exchange prevailing on the Business Day before the day on which a final judgment is given or the order of enforcement is made, as the case may be (unless a court shall otherwise determine). </w:t>
      </w:r>
    </w:p>
    <w:p>
      <w:pPr>
        <w:pStyle w:val="TextBody"/>
        <w:bidi w:val="0"/>
        <w:spacing w:before="120" w:after="0"/>
        <w:jc w:val="left"/>
        <w:rPr>
          <w:rFonts w:ascii="Times New Roman" w:hAnsi="Times New Roman"/>
          <w:sz w:val="20"/>
        </w:rPr>
      </w:pPr>
      <w:r>
        <w:rPr>
          <w:rFonts w:ascii="Times New Roman" w:hAnsi="Times New Roman"/>
          <w:sz w:val="20"/>
        </w:rPr>
        <w:t xml:space="preserve">(ii) If there is a change in the rate of exchange prevailing between the Business Day before the day on which the judgment referred to in (i) above is given or an order of enforcement is made, as the case may be (or such other date as a court shall determine), and the date of receipt of the amount due, the Company shall pay such additional (or, as the case may be, such lesser) amount, if any, as may be necessary so that the amount paid in the Judgment Currency when converted at the rate of exchange prevailing on the date of receipt will produce the amount in the Base Currency originally due.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of the winding-up of the Company at any time while any amount or damages owing under the Securities and this Indenture, or any judgment or order rendered in respect thereof, shall remain outstanding, the Company shall indemnify and hold the Holders and the Trustees harmless against any deficiency arising or resulting from any variation in rates of exchange between (1) the date as of which the equivalent of the amount in the Base Currency due or contingently due under the Securities and this Indenture (other than under this Subsection (b)) is calculated for the purposes of such winding-up and (2) the final date for the filing of proofs of claim in such winding-up. For the purpose of this Subsection (b) the final date for the filing of proofs of claim in the winding-up of the Company shall be the date fixed by the liquidator or otherwise in accordance with the relevant provisions of applicable law as being the latest practicable date as at which liabilities of the Company may be ascertained for such winding-up prior to payment by the liquidator or otherwise in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(c) The obligations contained in Subsections (a)(ii) and (b) of this Section shall constitute separate and independent obligations of the Company from its other obligations under the Securities and this Indenture, shall give rise to separate and independent causes of action against the Company, shall apply irrespective of any waiver or extension granted by any Holder or the Trustees or either of them from time to time and shall continue in full force and effect notwithstanding any judgment or order or the filing of any proof of claim in the winding up of the Company for a liquidated sum in respect of amounts due hereunder (other than under Subsection (b) above) or under any such judgment or order. Any such deficiency as aforesaid shall be deemed to constitute a loss suffered by the Holders or the Trustees, as the case may be, and no proof or evidence of any actual loss shall be required by the Company or its liquidator. In the case of Subsection (b) above, the amount of such deficiency shall not be deemed to be increased or reduced by any variation in rates of exchange occurring between the said final date and the date of any liquidating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term “rate(s) of exchange” shall mean the rate of exchange quoted by a Canadian chartered bank as may be designated in writing by the Company to the Trustees from time to time, at its central foreign exchange desk in its main office in Toronto at 12:00 noon (Toronto time) on the relevant date for purchases of the Base Currency with the Judgment Currency and includes any premiums and costs of exchange payable. The Trustees shall have no duty or liability with respect to monitoring or enforcing this Section.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1.15 Currency Equivalent.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Indenture, for purposes of the construction of the terms of this Indenture or of the Securities, in the event that any amount is stated herein in the Currency of one nation (the “First Currency”), as of any date such amount shall also be deemed to represent the amount in the Currency of any other relevant nation (the “Other Currency”) which is required to purchase such amount in the First Currency at the Bank of Canada daily average rate as reported by </w:t>
      </w:r>
      <w:r>
        <w:rPr>
          <w:rFonts w:ascii="Times New Roman" w:hAnsi="Times New Roman"/>
          <w:b/>
          <w:sz w:val="20"/>
        </w:rPr>
        <w:t>[Telerate on screen 3194]</w:t>
      </w:r>
      <w:r>
        <w:rPr>
          <w:rFonts w:ascii="Times New Roman" w:hAnsi="Times New Roman"/>
          <w:sz w:val="20"/>
        </w:rPr>
        <w:t xml:space="preserve"> (or such other means of reporting the Bank of Canada daily average rate as may be agreed upon by each of the parties to this Indenture) on the date of determination.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1.16 Conflict with Trust Indenture Legislation. </w:t>
      </w:r>
    </w:p>
    <w:p>
      <w:pPr>
        <w:pStyle w:val="TextBody"/>
        <w:bidi w:val="0"/>
        <w:spacing w:before="12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any mandatory requirement of Trust Indenture Legislation, such mandatory requirement shall control. If and to the extent that any provision hereof modifies or excludes any provision of Trust Indenture Legislation that may be so modified or excluded, the latter provision shall be deemed to apply hereof as so modified or to be excluded, as the case may be.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1.17 Incorporators, Shareholders, Officers and Directors of the Company Exempt from Individual Liability </w:t>
      </w:r>
    </w:p>
    <w:p>
      <w:pPr>
        <w:pStyle w:val="TextBody"/>
        <w:bidi w:val="0"/>
        <w:spacing w:before="120" w:after="0"/>
        <w:jc w:val="left"/>
        <w:rPr>
          <w:rFonts w:ascii="Times New Roman" w:hAnsi="Times New Roman"/>
          <w:sz w:val="20"/>
        </w:rPr>
      </w:pPr>
      <w:r>
        <w:rPr>
          <w:rFonts w:ascii="Times New Roman" w:hAnsi="Times New Roman"/>
          <w:sz w:val="20"/>
        </w:rPr>
        <w:t xml:space="preserve">No recourse under or upon any obligation, covenant or agreement contained in this Indenture, or in any Security, or because of any indebtedness evidenced thereby, shall be had against any incorporator, as such, or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FORMS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Forms Generally. </w:t>
      </w:r>
    </w:p>
    <w:p>
      <w:pPr>
        <w:pStyle w:val="TextBody"/>
        <w:bidi w:val="0"/>
        <w:spacing w:before="120" w:after="0"/>
        <w:jc w:val="left"/>
        <w:rPr>
          <w:rFonts w:ascii="Times New Roman" w:hAnsi="Times New Roman"/>
          <w:sz w:val="20"/>
        </w:rPr>
      </w:pPr>
      <w:r>
        <w:rPr>
          <w:rFonts w:ascii="Times New Roman" w:hAnsi="Times New Roman"/>
          <w:sz w:val="20"/>
        </w:rPr>
        <w:t xml:space="preserve">The Registered Securities, if any, of each series and the Bearer Securities, if any, of each series and related coupons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exchange or as may, consistently herewith, be determined by the officers executing such Securities or coupons, as evidenced by their execution of the Securities or coupons. If the forms of Securities or coupons of any series are established by action taken pursuant to a Board Resolution, a copy of an appropriate record of such action shall be certified by the Corporate Secretary of the Company and delivered to the Trustees at or prior to the delivery of the Company Order contemplated by Section 3.03 for the authentication and delivery of such Securities or coupons. Any portion of the text of any Security may be set forth on the reverse thereof, with an appropriate reference thereto on the face of the Security.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as contemplated by Section 3.01, Bearer Securities shall have interest coupons attached. </w:t>
      </w:r>
    </w:p>
    <w:p>
      <w:pPr>
        <w:pStyle w:val="TextBody"/>
        <w:bidi w:val="0"/>
        <w:spacing w:before="240" w:after="0"/>
        <w:jc w:val="left"/>
        <w:rPr>
          <w:rFonts w:ascii="Times New Roman" w:hAnsi="Times New Roman"/>
          <w:sz w:val="20"/>
        </w:rPr>
      </w:pPr>
      <w:r>
        <w:rPr>
          <w:rFonts w:ascii="Times New Roman" w:hAnsi="Times New Roman"/>
          <w:sz w:val="20"/>
        </w:rPr>
        <w:t xml:space="preserve">Either Trustee’s certificate of authentication on all Securities shall be in substantially the form set forth in this Article.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Securities and coupons shall be printed, lithographed or engraved on steel-engraved borders or may be produced in any other manner, all as determined by the officers of the Company executing such Securities, as evidenced by their execution of such Securities or coupons.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2.02 Form of Trustee’s Certificate of Authentication.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6.12, either Trustee’s certificate of authentication shall be in substantially the following form: </w:t>
      </w:r>
    </w:p>
    <w:p>
      <w:pPr>
        <w:pStyle w:val="TextBody"/>
        <w:bidi w:val="0"/>
        <w:spacing w:before="24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center"/>
        <w:rPr>
          <w:rFonts w:ascii="Times New Roman" w:hAnsi="Times New Roman"/>
          <w:sz w:val="20"/>
        </w:rPr>
      </w:pPr>
      <w:r>
        <w:rPr>
          <w:rFonts w:ascii="Times New Roman" w:hAnsi="Times New Roman"/>
          <w:sz w:val="20"/>
        </w:rPr>
        <w:t xml:space="preserve">(Certificate of Authentication may be executed by either Trustee) </w:t>
      </w:r>
    </w:p>
    <w:p>
      <w:pPr>
        <w:pStyle w:val="TextBody"/>
        <w:bidi w:val="0"/>
        <w:spacing w:before="0" w:after="0"/>
        <w:jc w:val="left"/>
        <w:rPr>
          <w:rFonts w:ascii="Times New Roman" w:hAnsi="Times New Roman"/>
          <w:sz w:val="20"/>
        </w:rPr>
      </w:pPr>
      <w:r>
        <w:rPr>
          <w:rFonts w:ascii="Times New Roman" w:hAnsi="Times New Roman"/>
          <w:sz w:val="20"/>
        </w:rPr>
        <w:t xml:space="preserve">Dated: ____________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 as U.S. Trustee, certifies that 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as U.S. Trustee </w:t>
      </w:r>
    </w:p>
    <w:p>
      <w:pPr>
        <w:pStyle w:val="TextBody"/>
        <w:bidi w:val="0"/>
        <w:spacing w:before="24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Authorized Officer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 </w:t>
      </w:r>
    </w:p>
    <w:p>
      <w:pPr>
        <w:pStyle w:val="TextBody"/>
        <w:bidi w:val="0"/>
        <w:spacing w:before="240" w:after="0"/>
        <w:jc w:val="left"/>
        <w:rPr>
          <w:rFonts w:ascii="Times New Roman" w:hAnsi="Times New Roman"/>
          <w:sz w:val="20"/>
        </w:rPr>
      </w:pPr>
      <w:r>
        <w:rPr>
          <w:rFonts w:ascii="Times New Roman" w:hAnsi="Times New Roman"/>
          <w:sz w:val="20"/>
        </w:rPr>
        <w:t xml:space="preserve">[  ], as Canadian Trustee, certifies that 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  ], as Canadian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Authorized Officer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2.03 Securities Issuable in Global Form. </w:t>
      </w:r>
    </w:p>
    <w:p>
      <w:pPr>
        <w:pStyle w:val="TextBody"/>
        <w:bidi w:val="0"/>
        <w:spacing w:before="120" w:after="0"/>
        <w:jc w:val="left"/>
        <w:rPr>
          <w:rFonts w:ascii="Times New Roman" w:hAnsi="Times New Roman"/>
          <w:sz w:val="20"/>
        </w:rPr>
      </w:pPr>
      <w:r>
        <w:rPr>
          <w:rFonts w:ascii="Times New Roman" w:hAnsi="Times New Roman"/>
          <w:sz w:val="20"/>
        </w:rPr>
        <w:t xml:space="preserve">If Securities of or within a series are issuable in global form, as specified and contemplated by Section 3.01, then, notwithstanding clause (10) of Section 3.01,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Trustees in such manner and upon instructions given by such Person or Persons as shall be specified therein or in the Company Order to be delivered to the Trustees pursuant to Section 3.03 or Section 3.04. Subject to the provisions of Section 3.03 and, if applicable, Section 3.04, the Trustees shall deliver and redeliver any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1.02 and need not be accompanied by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last sentence of Section 3.03 shall apply to any Security represented by a Security in global form if such Security was never issued and sold by the Company and the Company delivers to the Trustees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3.07, unless otherwise specified as contemplated by Section 3.01, payment of principal of (and premium, if any) and interest, if any, on any Security in permanent global form shall be made to the Person or Persons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3.09 and except as provided in the preceding paragraph, the Company, the Trustees and any agent of the Company and the Trustees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Amount Unlimited; Issuable in Series. </w:t>
      </w:r>
    </w:p>
    <w:p>
      <w:pPr>
        <w:pStyle w:val="TextBody"/>
        <w:bidi w:val="0"/>
        <w:spacing w:before="120" w:after="0"/>
        <w:jc w:val="left"/>
        <w:rPr>
          <w:rFonts w:ascii="Times New Roman" w:hAnsi="Times New Roman"/>
          <w:sz w:val="20"/>
        </w:rPr>
      </w:pPr>
      <w:r>
        <w:rPr>
          <w:rFonts w:ascii="Times New Roman" w:hAnsi="Times New Roman"/>
          <w:sz w:val="20"/>
        </w:rPr>
        <w:t xml:space="preserve">The aggregate principal amount of Securities which may be authenticated and delivered under this Indenture is unlimited.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may be issued in one or more series and may be denominated and payable in Dollars or any Foreign Currency. Except as otherwise provided herein or in the Board Resolutions or supplemental indenture establishing any series that provides for subordination of such series to other series of Securities, and except to the extent prescribed by law, each series of Securities shall be direct, unconditional and unsecured obligations of the Company and shall rank pari passu and ratably without preference among themselves and pari passu with all other unsecured and unsubordinated obligations of the Company. The principal amount of any series of Securities may be increased and issued under this Indenture. There shall be established in one or more Board Resolutions or pursuant to authority granted by one or more Board Resolutions and, subject to Section 3.03, set forth in, or determined in the manner provided in, an Officers’ Certificate, or established in one or more indentures supplemental hereto, prior to the issuance of Securities of any series, any or all of the following, as applicable (each of which (except for the matters set forth in clauses (1), (2) and (19) below), if so provided, may be determined from time to time by the Company with respect to unissued Securities of the series and set forth in such Securities of the series when issued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 the title of the Securities of the series (which shall distinguish the Securities of the series from all other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Section 3.05, Section 3.06, Section 9.06, Section 11.07 or Section 13.05); </w:t>
      </w:r>
    </w:p>
    <w:p>
      <w:pPr>
        <w:pStyle w:val="TextBody"/>
        <w:bidi w:val="0"/>
        <w:spacing w:before="120" w:after="0"/>
        <w:jc w:val="left"/>
        <w:rPr>
          <w:rFonts w:ascii="Times New Roman" w:hAnsi="Times New Roman"/>
          <w:sz w:val="20"/>
        </w:rPr>
      </w:pPr>
      <w:r>
        <w:rPr>
          <w:rFonts w:ascii="Times New Roman" w:hAnsi="Times New Roman"/>
          <w:sz w:val="20"/>
        </w:rPr>
        <w:t xml:space="preserve">(iii) the extent and manner, if any, to which payment on or in respect of the Securities of the series will be senior or will be subordinated to the prior payment of other liabilities and obligations of the Company, and whether the payment of principal, premium, if any, and interest, if any, will be guaranteed by any other Person and the nature and priority of any security; </w:t>
      </w:r>
    </w:p>
    <w:p>
      <w:pPr>
        <w:pStyle w:val="TextBody"/>
        <w:bidi w:val="0"/>
        <w:spacing w:before="120" w:after="0"/>
        <w:jc w:val="left"/>
        <w:rPr>
          <w:rFonts w:ascii="Times New Roman" w:hAnsi="Times New Roman"/>
          <w:sz w:val="20"/>
        </w:rPr>
      </w:pPr>
      <w:r>
        <w:rPr>
          <w:rFonts w:ascii="Times New Roman" w:hAnsi="Times New Roman"/>
          <w:sz w:val="20"/>
        </w:rPr>
        <w:t xml:space="preserve">(iv) the percentage or percentages of principal amount at which the Securities of the series will be issued; </w:t>
      </w:r>
    </w:p>
    <w:p>
      <w:pPr>
        <w:pStyle w:val="TextBody"/>
        <w:bidi w:val="0"/>
        <w:spacing w:before="120" w:after="0"/>
        <w:jc w:val="left"/>
        <w:rPr>
          <w:rFonts w:ascii="Times New Roman" w:hAnsi="Times New Roman"/>
          <w:sz w:val="20"/>
        </w:rPr>
      </w:pPr>
      <w:r>
        <w:rPr>
          <w:rFonts w:ascii="Times New Roman" w:hAnsi="Times New Roman"/>
          <w:sz w:val="20"/>
        </w:rPr>
        <w:t xml:space="preserve">(v) the date or dates, or the method by which such date or dates will be determined or extended, on which the Securities of the series may be issued and the date, or dates, or the method by which such date or dates will be determined or extended, on which the principal of the Securities of the series is payable; </w:t>
      </w:r>
    </w:p>
    <w:p>
      <w:pPr>
        <w:pStyle w:val="TextBody"/>
        <w:bidi w:val="0"/>
        <w:spacing w:before="120" w:after="0"/>
        <w:jc w:val="left"/>
        <w:rPr>
          <w:rFonts w:ascii="Times New Roman" w:hAnsi="Times New Roman"/>
          <w:sz w:val="20"/>
        </w:rPr>
      </w:pPr>
      <w:r>
        <w:rPr>
          <w:rFonts w:ascii="Times New Roman" w:hAnsi="Times New Roman"/>
          <w:sz w:val="20"/>
        </w:rPr>
        <w:t xml:space="preserve">(vi) the rate or rates at which the Securities of the series shall bear interest (whether fixed or variable),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or dates shall be determined, and the basis upon which interest shall be calculated if other than on the basis of a 360-day year of 12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the place or places, if any, other than or in addition to the Borough of Manhattan, the City of New York, where the principal of (and premium, if any) and interest, if any, on Securities of the series shall be payable, where any Registered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1.05, the place or places where notices or demands to or upon the Company in respect of the Securities of the series and this Indenture may be served; </w:t>
      </w:r>
    </w:p>
    <w:p>
      <w:pPr>
        <w:pStyle w:val="TextBody"/>
        <w:bidi w:val="0"/>
        <w:spacing w:before="120" w:after="0"/>
        <w:jc w:val="left"/>
        <w:rPr>
          <w:rFonts w:ascii="Times New Roman" w:hAnsi="Times New Roman"/>
          <w:sz w:val="20"/>
        </w:rPr>
      </w:pPr>
      <w:r>
        <w:rPr>
          <w:rFonts w:ascii="Times New Roman" w:hAnsi="Times New Roman"/>
          <w:sz w:val="20"/>
        </w:rPr>
        <w:t xml:space="preserve">(viii) the period or periods within which, the price or prices at which, the Currency in which, and other terms and conditions upon which Securities of the series may be redeemed, in whole or in part, at the option of the Company, if the Company is to have that option; </w:t>
      </w:r>
    </w:p>
    <w:p>
      <w:pPr>
        <w:pStyle w:val="TextBody"/>
        <w:bidi w:val="0"/>
        <w:spacing w:before="120" w:after="0"/>
        <w:jc w:val="left"/>
        <w:rPr>
          <w:rFonts w:ascii="Times New Roman" w:hAnsi="Times New Roman"/>
          <w:sz w:val="20"/>
        </w:rPr>
      </w:pPr>
      <w:r>
        <w:rPr>
          <w:rFonts w:ascii="Times New Roman" w:hAnsi="Times New Roman"/>
          <w:sz w:val="20"/>
        </w:rPr>
        <w:t xml:space="preserve">(ix) the obligation, if any, of the Company to redeem, repay or purchase Securities of the series pursuant to any sinking fund or analogous provision or at the option of a Holder thereof, and the period or periods within which, the price or prices at which, the Currency in which, and other terms and conditions upon which Securities of the series shall be redeemed, repaid or purchased, in whole or in part, pursuant to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(x) if other than denominations of $1,000 and any integral multiple of $1,000 in excess thereof, the denomination or denominations in which any Registered Securities of the series shall be issuable and, if other than denominations of $1,000, the denomination or denominations in which any Bearer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(xi) if other than the Trustees, the identity of each Security Registrar and/or Paying Agent; </w:t>
      </w:r>
    </w:p>
    <w:p>
      <w:pPr>
        <w:pStyle w:val="TextBody"/>
        <w:bidi w:val="0"/>
        <w:spacing w:before="120" w:after="0"/>
        <w:jc w:val="left"/>
        <w:rPr>
          <w:rFonts w:ascii="Times New Roman" w:hAnsi="Times New Roman"/>
          <w:sz w:val="20"/>
        </w:rPr>
      </w:pPr>
      <w:r>
        <w:rPr>
          <w:rFonts w:ascii="Times New Roman" w:hAnsi="Times New Roman"/>
          <w:sz w:val="20"/>
        </w:rPr>
        <w:t xml:space="preserve">(xii) if other than the principal amount thereof, the portion of the principal amount of Securities of the series that shall be payable upon declaration of acceleration of the Maturity thereof pursuant to Section 5.02 or the method by which such portion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(xiii) if other than Dollars, the Currency in which payment of the principal of (or premium, if any) or interest, if any, on the Securities of the series shall be payable or in which the Securities of the series shall be denominated and the particular provisions applicable thereto in accordance with, in addition to or in lieu of any of the provisions of Section 3.12; </w:t>
      </w:r>
    </w:p>
    <w:p>
      <w:pPr>
        <w:pStyle w:val="TextBody"/>
        <w:bidi w:val="0"/>
        <w:spacing w:before="120" w:after="0"/>
        <w:jc w:val="left"/>
        <w:rPr>
          <w:rFonts w:ascii="Times New Roman" w:hAnsi="Times New Roman"/>
          <w:sz w:val="20"/>
        </w:rPr>
      </w:pPr>
      <w:r>
        <w:rPr>
          <w:rFonts w:ascii="Times New Roman" w:hAnsi="Times New Roman"/>
          <w:sz w:val="20"/>
        </w:rPr>
        <w:t xml:space="preserve">(xiv) 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(xv) whether the principal of (or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between the Currency in which such Securities are denominated or stated to be payable and the Currency in which such Securities are to be so payable, in each case in accordance with, in addition to or in lieu of any of the provisions of Section 3.12; </w:t>
      </w:r>
    </w:p>
    <w:p>
      <w:pPr>
        <w:pStyle w:val="TextBody"/>
        <w:bidi w:val="0"/>
        <w:spacing w:before="120" w:after="0"/>
        <w:jc w:val="left"/>
        <w:rPr>
          <w:rFonts w:ascii="Times New Roman" w:hAnsi="Times New Roman"/>
          <w:sz w:val="20"/>
        </w:rPr>
      </w:pPr>
      <w:r>
        <w:rPr>
          <w:rFonts w:ascii="Times New Roman" w:hAnsi="Times New Roman"/>
          <w:sz w:val="20"/>
        </w:rPr>
        <w:t xml:space="preserve">(xvi) the designation of the initial Exchange Rate Agent, if any; </w:t>
      </w:r>
    </w:p>
    <w:p>
      <w:pPr>
        <w:pStyle w:val="TextBody"/>
        <w:bidi w:val="0"/>
        <w:spacing w:before="120" w:after="0"/>
        <w:jc w:val="left"/>
        <w:rPr>
          <w:rFonts w:ascii="Times New Roman" w:hAnsi="Times New Roman"/>
          <w:sz w:val="20"/>
        </w:rPr>
      </w:pPr>
      <w:r>
        <w:rPr>
          <w:rFonts w:ascii="Times New Roman" w:hAnsi="Times New Roman"/>
          <w:sz w:val="20"/>
        </w:rPr>
        <w:t xml:space="preserve">(xvii) the applicability, if any, of Sections Section 14.02 and/or Section 14.03 to the Securities of the series and any provisions in modification of, in addition to or in lieu of any of the provisions of Article Fourteen that shall be applicable to the Securities of the series; </w:t>
      </w:r>
    </w:p>
    <w:p>
      <w:pPr>
        <w:pStyle w:val="TextBody"/>
        <w:bidi w:val="0"/>
        <w:spacing w:before="120" w:after="0"/>
        <w:jc w:val="left"/>
        <w:rPr>
          <w:rFonts w:ascii="Times New Roman" w:hAnsi="Times New Roman"/>
          <w:sz w:val="20"/>
        </w:rPr>
      </w:pPr>
      <w:r>
        <w:rPr>
          <w:rFonts w:ascii="Times New Roman" w:hAnsi="Times New Roman"/>
          <w:sz w:val="20"/>
        </w:rPr>
        <w:t xml:space="preserve">(xviii) provisions, if any, granting special rights to the Holders of Securities of the series upon the occurrence of such events as may be specified; </w:t>
      </w:r>
    </w:p>
    <w:p>
      <w:pPr>
        <w:pStyle w:val="TextBody"/>
        <w:bidi w:val="0"/>
        <w:spacing w:before="120" w:after="0"/>
        <w:jc w:val="left"/>
        <w:rPr>
          <w:rFonts w:ascii="Times New Roman" w:hAnsi="Times New Roman"/>
          <w:sz w:val="20"/>
        </w:rPr>
      </w:pPr>
      <w:r>
        <w:rPr>
          <w:rFonts w:ascii="Times New Roman" w:hAnsi="Times New Roman"/>
          <w:sz w:val="20"/>
        </w:rPr>
        <w:t xml:space="preserve">(xix) any deletions from, modifications of or additions to the Events of Default or covenants (including any deletions from, modifications of or additions to Section 10.09) of the Company with respect to Securities of the series, whether or not such Events of Default or covenants are consistent with the Events of Default or covenants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(xx) whether Securities of the series are to be issuable as Registered Securities, Bearer Securities (with or without coupons) or both, any restrictions applicable to the offer, sale or delivery of Bearer Securities,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whether Registered Securities of the series may be exchanged for Bearer Securities of the series (if permitted by applicable laws and regulations), whether Bearer Securities of the series may be exchanged for Registered Securities of such series, and the circumstances under which and the place or places where any such exchanges may be made and, if Securities of the series are to be issuable in global form, the identity of any initial depository therefor; </w:t>
      </w:r>
    </w:p>
    <w:p>
      <w:pPr>
        <w:pStyle w:val="TextBody"/>
        <w:bidi w:val="0"/>
        <w:spacing w:before="120" w:after="0"/>
        <w:jc w:val="left"/>
        <w:rPr>
          <w:rFonts w:ascii="Times New Roman" w:hAnsi="Times New Roman"/>
          <w:sz w:val="20"/>
        </w:rPr>
      </w:pPr>
      <w:r>
        <w:rPr>
          <w:rFonts w:ascii="Times New Roman" w:hAnsi="Times New Roman"/>
          <w:sz w:val="20"/>
        </w:rPr>
        <w:t xml:space="preserve">(xxi) the date as of which any Bearer Securities of the series and any temporary global Security representing Outstanding Securities of the series shall be dated if other than the date of original issuance of the first Security of the series to be issued; </w:t>
      </w:r>
    </w:p>
    <w:p>
      <w:pPr>
        <w:pStyle w:val="TextBody"/>
        <w:bidi w:val="0"/>
        <w:spacing w:before="120" w:after="0"/>
        <w:jc w:val="left"/>
        <w:rPr>
          <w:rFonts w:ascii="Times New Roman" w:hAnsi="Times New Roman"/>
          <w:sz w:val="20"/>
        </w:rPr>
      </w:pPr>
      <w:r>
        <w:rPr>
          <w:rFonts w:ascii="Times New Roman" w:hAnsi="Times New Roman"/>
          <w:sz w:val="20"/>
        </w:rPr>
        <w:t xml:space="preserve">(xxii) 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in Section 3.04; </w:t>
      </w:r>
    </w:p>
    <w:p>
      <w:pPr>
        <w:pStyle w:val="TextBody"/>
        <w:bidi w:val="0"/>
        <w:spacing w:before="120" w:after="0"/>
        <w:jc w:val="left"/>
        <w:rPr>
          <w:rFonts w:ascii="Times New Roman" w:hAnsi="Times New Roman"/>
          <w:sz w:val="20"/>
        </w:rPr>
      </w:pPr>
      <w:r>
        <w:rPr>
          <w:rFonts w:ascii="Times New Roman" w:hAnsi="Times New Roman"/>
          <w:sz w:val="20"/>
        </w:rPr>
        <w:t xml:space="preserve">(xxiii) if Securities of the series are to be issuable in definitive form (whether upon original issue or upon exchange of a temporary Security of such series) only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receipt of certain certificates or other documents or satisfaction of other conditions, the form and/or terms of such certificates, documents or conditions; </w:t>
      </w:r>
    </w:p>
    <w:p>
      <w:pPr>
        <w:pStyle w:val="TextBody"/>
        <w:bidi w:val="0"/>
        <w:spacing w:before="120" w:after="0"/>
        <w:jc w:val="left"/>
        <w:rPr>
          <w:rFonts w:ascii="Times New Roman" w:hAnsi="Times New Roman"/>
          <w:sz w:val="20"/>
        </w:rPr>
      </w:pPr>
      <w:r>
        <w:rPr>
          <w:rFonts w:ascii="Times New Roman" w:hAnsi="Times New Roman"/>
          <w:sz w:val="20"/>
        </w:rPr>
        <w:t xml:space="preserve">(xxiv) if the Securities of the series are to be issued upon the exercise of warrants, the time, manner and place for such Securities to be authenticated and delivered; </w:t>
      </w:r>
    </w:p>
    <w:p>
      <w:pPr>
        <w:pStyle w:val="TextBody"/>
        <w:bidi w:val="0"/>
        <w:spacing w:before="120" w:after="0"/>
        <w:jc w:val="left"/>
        <w:rPr>
          <w:rFonts w:ascii="Times New Roman" w:hAnsi="Times New Roman"/>
          <w:sz w:val="20"/>
        </w:rPr>
      </w:pPr>
      <w:r>
        <w:rPr>
          <w:rFonts w:ascii="Times New Roman" w:hAnsi="Times New Roman"/>
          <w:sz w:val="20"/>
        </w:rPr>
        <w:t xml:space="preserve">(xxv) whether, under what circumstances and the Currency in which the Company will pay Additional Amounts as contemplated by Section 10.05 on the Securities of the series to any Holder (including any modification to the definition of such term) in respect of any tax, assessment or governmental charge and, if so, whether the Company will have the option to redeem such Securities rather than pay such Additional Amounts (and the terms of any such option); </w:t>
      </w:r>
    </w:p>
    <w:p>
      <w:pPr>
        <w:pStyle w:val="TextBody"/>
        <w:bidi w:val="0"/>
        <w:spacing w:before="120" w:after="0"/>
        <w:jc w:val="left"/>
        <w:rPr>
          <w:rFonts w:ascii="Times New Roman" w:hAnsi="Times New Roman"/>
          <w:sz w:val="20"/>
        </w:rPr>
      </w:pPr>
      <w:r>
        <w:rPr>
          <w:rFonts w:ascii="Times New Roman" w:hAnsi="Times New Roman"/>
          <w:sz w:val="20"/>
        </w:rPr>
        <w:t xml:space="preserve">(xxvi) if the Securities of the series are to be convertible into or exchangeable for any securities of any Person (including the Company), the terms and conditions upon which such Securities will be so convertible or exchangeable; </w:t>
      </w:r>
    </w:p>
    <w:p>
      <w:pPr>
        <w:pStyle w:val="TextBody"/>
        <w:bidi w:val="0"/>
        <w:spacing w:before="120" w:after="0"/>
        <w:jc w:val="left"/>
        <w:rPr>
          <w:rFonts w:ascii="Times New Roman" w:hAnsi="Times New Roman"/>
          <w:sz w:val="20"/>
        </w:rPr>
      </w:pPr>
      <w:r>
        <w:rPr>
          <w:rFonts w:ascii="Times New Roman" w:hAnsi="Times New Roman"/>
          <w:sz w:val="20"/>
        </w:rPr>
        <w:t xml:space="preserve">(xxvii) the applicability, if any, of Sections Section 10.05 and Section 11.08 to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(xxviii) provisions as to modification, amendment or variation of any rights or terms attaching to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(xxix) any other terms, conditions, rights and preferences (or limitations on such rights and preferences) relating to the series (which terms shall not be inconsistent with the requirements of Trust Indenture Legislation or the provisions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(xxx) 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Not all Securities of any one series need be issued at the same time, and, unless otherwise provided, a series may be reopened for issuances of additional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one or more Board Resolutions, such Board Resolutions shall be delivered to the Trustees at or prior to the delivery of the Officers’ Certificate setting forth the terms of the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3.02 Denominations.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of each series shall be issuable in such denominations as shall be specified as contemplated by Section 3.01. With respect to Securities of any series denominated in Dollars, in the absence of any such provisions, the Registered Securities of such series, other than Registered Securities issued in global form (which may be of any denomination), shall be issuable in denominations of $2,000 and any integral multiple of $1,000 in excess thereof and the Bearer Securities of such series, other than the Bearer Securities issued in global form (which may be of any denomination), shall be issuable in a denomination of $1,000.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3.03 Execution, Authentication, Delivery and Dating.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and any coupons appertaining thereto shall be executed on behalf of the Company by any one of the President, Chief Executive Officer, Chief Financial Officer, Chief Operations Officer or Corporate Secretary of the Company, or if two or more persons share such office any one of such persons. The signature of any of these officers on the Securities or coupons may be the manual or facsimile signatures of the present or any future such authorized officer and may be imprinted or otherwise reproduced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or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together with any coupon appertaining thereto, executed by the Company to the applicable Trustee for authentication, together with a Company Order for the authentication and delivery of such Securities, and the applicable Trustee in accordance with such Company Order shall authenticate and deliver such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connection with its original issuance, no Bearer Security shall be mailed or otherwise delivered to any location in the United States; and </w:t>
      </w:r>
      <w:r>
        <w:rPr>
          <w:rFonts w:ascii="Times New Roman" w:hAnsi="Times New Roman"/>
          <w:sz w:val="20"/>
          <w:u w:val="single"/>
        </w:rPr>
        <w:t>provided further</w:t>
      </w:r>
      <w:r>
        <w:rPr>
          <w:rFonts w:ascii="Times New Roman" w:hAnsi="Times New Roman"/>
          <w:sz w:val="20"/>
        </w:rPr>
        <w:t xml:space="preserve"> that, unless otherwise specified with respect to any series of Securities pursuant to Section 3.01, a Bearer Security may be delivered in connection with its original issuance only if the Person entitled to receive such Bearer Security shall have furnished a certificate in the form set forth in Exhibit A-1 to this Indenture,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Bearer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Trustees shall not authenticate and deliver any Bearer Security unless all appurtenant coupons for interest then matured have been detached and cancelled. If not all the Securities of any series are to be issued at one time and if the Board Resolution or supplemental indenture establishing such series shall so permit, such Company Order may set forth procedures acceptable to the Trustees for the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Securities and determining terms of particular Securities of such series such as interest rate, stated maturity, date of issuance and date from which interest shall accrue. </w:t>
      </w:r>
    </w:p>
    <w:p>
      <w:pPr>
        <w:pStyle w:val="TextBody"/>
        <w:bidi w:val="0"/>
        <w:spacing w:before="240" w:after="0"/>
        <w:jc w:val="left"/>
        <w:rPr>
          <w:rFonts w:ascii="Times New Roman" w:hAnsi="Times New Roman"/>
          <w:sz w:val="20"/>
        </w:rPr>
      </w:pPr>
      <w:r>
        <w:rPr>
          <w:rFonts w:ascii="Times New Roman" w:hAnsi="Times New Roman"/>
          <w:sz w:val="20"/>
        </w:rPr>
        <w:t xml:space="preserve">In authenticating such Securities, and accepting the additional responsibilities under this Indenture in relation to such Securities, the Trustees shall be entitled to receive, and (subject to Trust Indenture Legislation) shall be fully protected in relying upon, an Opinion of Counsel stating: </w:t>
      </w:r>
    </w:p>
    <w:p>
      <w:pPr>
        <w:pStyle w:val="TextBody"/>
        <w:bidi w:val="0"/>
        <w:spacing w:before="120" w:after="0"/>
        <w:jc w:val="left"/>
        <w:rPr>
          <w:rFonts w:ascii="Times New Roman" w:hAnsi="Times New Roman"/>
          <w:sz w:val="20"/>
        </w:rPr>
      </w:pPr>
      <w:r>
        <w:rPr>
          <w:rFonts w:ascii="Times New Roman" w:hAnsi="Times New Roman"/>
          <w:sz w:val="20"/>
        </w:rPr>
        <w:t xml:space="preserve">(a) that the form or forms of such Securities and any coupons have been established in conformity with the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 that the terms of such Securities and any coupons have been established in conformity with the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that such Securities, together with any coupons appertaining thereto, when completed by appropriate insertions and executed and delivered by the Company to the Trustees for authentication in accordance with this Indenture, authenticated and delivered by the Trustees, or either of them, in accordance with this Indenture and issued by the Company in the manner and subject to any conditions specified in such Opinion of Counsel, will constitute the legal, valid and binding obligations of the Company, enforceable in accordance with their terms, subject to applicable bankruptcy, insolvency, reorganization and other similar laws of general applicability relating to or affecting the enforcement of creditors’ rights and to general equitable principles; </w:t>
      </w:r>
    </w:p>
    <w:p>
      <w:pPr>
        <w:pStyle w:val="TextBody"/>
        <w:bidi w:val="0"/>
        <w:spacing w:before="120" w:after="0"/>
        <w:jc w:val="left"/>
        <w:rPr>
          <w:rFonts w:ascii="Times New Roman" w:hAnsi="Times New Roman"/>
          <w:sz w:val="20"/>
        </w:rPr>
      </w:pPr>
      <w:r>
        <w:rPr>
          <w:rFonts w:ascii="Times New Roman" w:hAnsi="Times New Roman"/>
          <w:sz w:val="20"/>
        </w:rPr>
        <w:t xml:space="preserve">(d) that all laws and requirements in respect of the execution and delivery by the Company of such Securities, any coupons and of the supplemental indentures, if any, have been complied with and that authentication and delivery of such Securities and any coupons and the execution and delivery of the supplemental indentures, if any, by the Trustees will not violate the terms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(e) that the Company has the corporate power to issue such Securities and any coupons, and has duly taken all necessary corporate action with respect to such issuance; and </w:t>
      </w:r>
    </w:p>
    <w:p>
      <w:pPr>
        <w:pStyle w:val="TextBody"/>
        <w:bidi w:val="0"/>
        <w:spacing w:before="120" w:after="0"/>
        <w:jc w:val="left"/>
        <w:rPr>
          <w:rFonts w:ascii="Times New Roman" w:hAnsi="Times New Roman"/>
          <w:sz w:val="20"/>
        </w:rPr>
      </w:pPr>
      <w:r>
        <w:rPr>
          <w:rFonts w:ascii="Times New Roman" w:hAnsi="Times New Roman"/>
          <w:sz w:val="20"/>
        </w:rPr>
        <w:t xml:space="preserve">(f) that the issuance of such Securities and any coupons will not contravene the articles of incorporation or continuance, or such other constating documents then in effect, if any, or by-laws of the Company or result in any violation of any of the terms or provisions of any law or regulation or of any indenture, mortgage or other agreement known to such counsel by which the Company is bound.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but such documents shall be delivered prior to or at the time of issuance of the first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Trustees shall not be required to authenticate and deliver any such Securities if the issue of such Securities pursuant to this Indenture will affect the Trustees’ own rights, duties or immunities under the Securities and this Indenture or otherwise in a manner which is not reasonably acceptable to the Trustees.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Registered Security shall be dated the date of its authentication and each Bearer Security shall be dated as of the date specified as contemplated by Section 3.01. </w:t>
      </w:r>
    </w:p>
    <w:p>
      <w:pPr>
        <w:pStyle w:val="TextBody"/>
        <w:bidi w:val="0"/>
        <w:spacing w:before="240" w:after="0"/>
        <w:jc w:val="left"/>
        <w:rPr>
          <w:rFonts w:ascii="Times New Roman" w:hAnsi="Times New Roman"/>
          <w:sz w:val="20"/>
        </w:rPr>
      </w:pPr>
      <w:r>
        <w:rPr>
          <w:rFonts w:ascii="Times New Roman" w:hAnsi="Times New Roman"/>
          <w:sz w:val="20"/>
        </w:rPr>
        <w:t xml:space="preserve">No Security or coupon shall entitle a Holder to any benefit under this Indenture or be valid or obligatory for any purpose unless there appears on such Security a certificate of authentication substantially in the form provided for herein duly executed by the U.S. Trustee or by the Canadian Trustee by manual signature of an authorized officer,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Trustees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entitle a Holder to the benefits of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3.04 Temporary Securities. </w:t>
      </w:r>
    </w:p>
    <w:p>
      <w:pPr>
        <w:pStyle w:val="TextBody"/>
        <w:bidi w:val="0"/>
        <w:spacing w:before="12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upon Company Order the Trustees, or either of them,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Such temporary Securities may be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Notwithstanding that procedure, Canadian Securities issued in temporary form must be returned to the Canadian Trustee for cancellation. Upon surrender for cancellation of any one or more temporary Securities of any series (accompanied by any unmatured coupons appertaining thereto), the Company shall execute and either Trustee shall authenticate and deliver in exchange therefor a like principal amount of definitive Securities of the same series of authorized denominations;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definitive Bearer Security shall be delivered in exchange for a temporary Registered Security; and </w:t>
      </w:r>
      <w:r>
        <w:rPr>
          <w:rFonts w:ascii="Times New Roman" w:hAnsi="Times New Roman"/>
          <w:sz w:val="20"/>
          <w:u w:val="single"/>
        </w:rPr>
        <w:t>provided further</w:t>
      </w:r>
      <w:r>
        <w:rPr>
          <w:rFonts w:ascii="Times New Roman" w:hAnsi="Times New Roman"/>
          <w:sz w:val="20"/>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temporary Securities of any series are issued in global form, any such temporary global Security shall, unless otherwise provided therein, be delivered to the London office of a depositary or common depositary (the “Common Depositary”) or the Depositary, as applicable, for the benefit of Euroclear and Clearstream, for credit to the respective accounts of the beneficial owners of such Securities (or to such other accounts as they may direct). </w:t>
      </w:r>
    </w:p>
    <w:p>
      <w:pPr>
        <w:pStyle w:val="TextBody"/>
        <w:bidi w:val="0"/>
        <w:spacing w:before="240" w:after="0"/>
        <w:jc w:val="left"/>
        <w:rPr>
          <w:rFonts w:ascii="Times New Roman" w:hAnsi="Times New Roman"/>
          <w:sz w:val="20"/>
        </w:rPr>
      </w:pPr>
      <w:r>
        <w:rPr>
          <w:rFonts w:ascii="Times New Roman" w:hAnsi="Times New Roman"/>
          <w:sz w:val="20"/>
        </w:rPr>
        <w:t xml:space="preserve">Without unnecessary delay but in any event not later than the date specified in, or determined pursuant to the terms of, any such temporary global Security (the “Exchange Date”), the Company shall deliver to the Trustees definitive Securities, in aggregate principal amount equal to the principal amount of such temporary global Security, executed by the Company. On or after the Exchange Date such temporary global Security shall be surrendered by the Common Depositary to the Trustees, as the Company’s agent for such purpose, to be exchanged, in whole or from time to time in part, for definitive Securities without charge and either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unless otherwise specified in such temporary global Security, upon such presentation by the Common Depositary, such temporary global Security is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Exhibit A-2 to this Indenture (or in such other form as may be established pursuant to Section 3.01); and </w:t>
      </w:r>
      <w:r>
        <w:rPr>
          <w:rFonts w:ascii="Times New Roman" w:hAnsi="Times New Roman"/>
          <w:sz w:val="20"/>
          <w:u w:val="single"/>
        </w:rPr>
        <w:t>provided further</w:t>
      </w:r>
      <w:r>
        <w:rPr>
          <w:rFonts w:ascii="Times New Roman" w:hAnsi="Times New Roman"/>
          <w:sz w:val="20"/>
        </w:rPr>
        <w:t xml:space="preserve"> that definitive Bearer Securities shall be delivered in exchange for a portion of a temporary global Security only in compliance with the requirements of Section 3.03.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and Clearstream, as the case may be, to request such exchange on his behalf and delivers to Euroclear and Clearstream, as the case may be, a certificate in the form set forth in Exhibit A-1 to this Indenture (or in such other form as may be established pursuant to Section 3.01), dated no earlier than 15 days prior to the Exchange Date, copies of which certificate shall be available from the offices of Euroclear and Clearstream, the Trustees,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Euroclear and Clearstream. Definitive Securities in bearer form to be delivered in exchange for any portion of a temporary global Security shall be delivered only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Trustees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Euroclear and Clearstream, as the case may be,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Trustees immediately prior to the expiration of two years after such Interest Payment Date in order to be repaid to the Company in accordance with Section 10.03.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3.05 Registration, Registration of 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So long as required by Trust Indenture Legislation, the Company shall cause to be kept at the office of a trust company registered under the Trust and Loan Companies Act, S.C. 1991, c. 45, a securities register (the “Central Register”) of Holders of each series of Securities maintained in compliance with the Trust Indenture Legislation. The Company will cause the particulars of each such issue, exchange or transfer of Securities to be recorded in the Central Register. The Company hereby appoints the Canadian Trustee as the Central Registrar and Transfer Agent for the Canadian Securities and the U.S. Trustee as the Central Registrar and Transfer Agent for the U.S. Securities. There shall be two such Central Registers, one for U.S. Securities and one for Canadian Securities. If permitted by Trust Indenture Legislation, the Company may appoint a Person other than the Company or a trust corporation registered under the Trust and Loan Companies Act, S.C. 1991, c. 45 as the Central Securities Registrar.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subject to the consent of the Appropriate Trustee, also cause to be maintained a branch register (a “Branch Register”) or Branch Registers of Holders of Securities in accordance with Section 10.02 in the same manner and containing the same information with respect to each entry contained therein as contained in the Central Register. A copy of every entry in a Branch Register shall, promptly after the entry is made, be transmitted to the Central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Registrar. If there is a conflict between the information contained in the Central Register and the information contained in the Branch Register, the information contained in the Central Register shall prevail. The Central Register together with each Branch Register are collectively referred to herein as the “Security Register”. At all reasonable times, the Security Register shall be open to inspection by the Trustees. The U.S. Trustee is hereby initially appointed as branch security registrar (the “Branch Security Registrar”) for the purpose of maintaining a Branch Register at its Corporate Trust Office;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Company may appoint from time to time one or more successor or additional Branch Security Registrars and may from time to time rescind any such appointment. The Central Security Registrar together with each Branch Security Registrar are collectively referred to herein as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Registered Security of any series at the office or agency in a Place of Payment for that series, the Company shall execute, and the Appropriate Trustee shall authenticate and deliver, in the name of the designated transferee, one or more new Registered Securities of the same series, of any authorized denominations and of a like aggregate principal amount and tenor. </w:t>
      </w:r>
    </w:p>
    <w:p>
      <w:pPr>
        <w:pStyle w:val="TextBody"/>
        <w:bidi w:val="0"/>
        <w:spacing w:before="240" w:after="0"/>
        <w:jc w:val="left"/>
        <w:rPr>
          <w:rFonts w:ascii="Times New Roman" w:hAnsi="Times New Roman"/>
          <w:sz w:val="20"/>
        </w:rPr>
      </w:pPr>
      <w:r>
        <w:rPr>
          <w:rFonts w:ascii="Times New Roman" w:hAnsi="Times New Roman"/>
          <w:sz w:val="20"/>
        </w:rPr>
        <w:t xml:space="preserve">For Canadian Securities, the Security must be duly endorsed for transfer or in a duly endorsed transferable form as applicable and must comply with the current industry practice in accordance with the Securities Transfer Association of Canada.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Registered Securities of any series may be exchanged for other Registered Securities of the same series, of any authorized denomination and of a like aggregate principal amount, upon surrender of the Registered Securities to be exchanged at such office or agency. Whenever any Registered Securities are so surrendered for exchange, the Company shall execute, and the Appropriate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 The Appropriate Trustee shall update the Register, or, if the Appropriate Trustee is not the Authenticating Agent, the Appropriate Trustee shall immediately provide a copy of the newly Authenticated Security to the Central Registrar so that the Register may be updated. </w:t>
      </w:r>
    </w:p>
    <w:p>
      <w:pPr>
        <w:pStyle w:val="TextBody"/>
        <w:bidi w:val="0"/>
        <w:spacing w:before="240" w:after="0"/>
        <w:jc w:val="left"/>
        <w:rPr>
          <w:rFonts w:ascii="Times New Roman" w:hAnsi="Times New Roman"/>
          <w:sz w:val="20"/>
        </w:rPr>
      </w:pPr>
      <w:r>
        <w:rPr>
          <w:rFonts w:ascii="Times New Roman" w:hAnsi="Times New Roman"/>
          <w:sz w:val="20"/>
        </w:rPr>
        <w:t xml:space="preserve">If (but only if) expressly permitted in or pursuant to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 and of a like aggregate principal amount and tenor, upon surrender of the Bearer Securities to be exchanged at the office of the Appropriate Trustee,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in an amount equal to the face amount of such missing coupon or coupons, or the surrender of such missing coupon or coupons may be waived by the Company and the Trustees if there is furnished to them such security or indemnity as they may require to save each of them and any Paying Agent harmless. If thereafter the Holder of such Security shall surrender to any Paying Agent any such missing coupon in respect of which such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shall have been made, such Holder shall be entitled to receive the amount of such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Whenever any Securities are so surrendered for exchange, the Company shall execute, and the Appropriate Trustee shall authenticate and deliver, the Securities which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except as otherwise specified as contemplated by Section 3.01,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contemplated by Section 3.01 and provided that any applicable notice provided in the permanent global Security shall have been given to the Company, the Appropriate Trustee and the Common Depository, then without unnecessary delay but in any event not later than the earliest date on which such interest may be so exchanged, the Company shall deliver to the Appropriate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Common Depositary or such other depositary as shall be specified in the Company Order with respect thereto to the Appropriate Trustee, as the Company’s agent for such purpose, to be exchanged in whole or from time to time in part, for definitive Securities without charge, and the Appropriate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which, unless the Securities of the series are not issuable both as Bearer Securities and as Registered Securities, as specified as contemplated by Section 3.01, shall be in the form of Bearer Securities or Registered Securities, or any combination thereof, as shall be specified by the beneficial owner thereof. The Appropriate Trustee shall promptly provide to the Common Depository (or other applicable Depository) a replacement global Security in the aggregate principal amount of the global Security not being so exchanged. The Appropriate Trustee shall not the exchange on the register for such Securities. Notwithstanding the foregoing, no such exchanges may occur during a period beginning at the opening of business 15 days before any selection of Securities to be redeemed and ending on the relevant Redemption Date if the Security for which exchange is requested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among those selected for redemption; and provided, further,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Transfers of global Securities shall be limited to transfers in whole, but not in part, to the Depositary, its successors or their respective nominees. If at any time the Depositary of a series notifies the Company that it is unwilling, unable or no longer qualifies to continue as Depositary of such series or if at any time the Depositary for such series shall no longer be registered or in good standing under the Exchange Act, or other applicable statute or regulation, the Company shall appoint a successor depositary with respect to the Securities for such series. If a successor to the Depositary is not appointed by the Company within 90 days after the Company receives such notice or becomes aware of such condition, as the case may be, the Company’s election pursuant to Section 3.01 shall no longer be effective with respect to the Securities for such series and the Company will execute, and the Appropriate Trustee, upon receipt of a Company Order for the authentication and delivery of definitive Securities of such series, will authenticate and deliver Securities of such series in definitive, registered form, in authorized denominations, and in an aggregate principal amount equal to the principal amount of the global Security or Securities representing such series in exchange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and in its sole discretion determine that the Securities of any series issued in the form of one or more global Securities shall no longer be represented by such global Security or Securities. In such event the Company will execute, and the Appropriate Trustee, upon receipt of a Company Order for the authentication and delivery of definitive Securities of such series, will authenticate and deliver Securities of such series in definitive, registered form, in authorized denominations, and in an aggregate principal amount equal to the principal amount of the global Security or Securities representing such series in exchange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Interests of a beneficial owner in global Securities may also be transferred or exchanged for definitive Securities if, after the occurrence of an Event of Default with respect to such Securities, and while such Event of Default is continuing, such owner notifies the Trustees in writing that it wishes to receive a Security in definitive, registered form and provides to the Trustees evidence reasonably satisfactory to the Trustees of its ownership interest in such Securities. In such event the Company will execute, and the Appropriate Trustee, upon receipt of a Company Order for the authentication and delivery of definitive Securities of such series, will authenticate and deliver Securities of such series in definitive, registered form, in authorized denominations, and in an aggregate principal amount equal to the principal amount of the global Security or Securities representing such series in exchange for such global Security or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the exchange of a global Security for Securities in definitive registered form, such global Security shall be cancelled by the U.S. Trustee. Securities issued in exchange for a global Security pursuant to this Section shall be registered in such names and in such authorized denominations as the Depositary for such global Security, pursuant to instructions from its direct or indirect participants or otherwise, shall instruct the U.S. Trustee in writing. The U.S. Trustee shall deliver such Securities to the persons in whose names such Securities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Every Registered Security presented or surrendered for registration of transfer or for exchange shall (if so required by the Company or the Security Registrar or applicable securities transfer industry practices) be duly endorsed, or be accompanied by a written instrument of transfer, in form satisfactory to the Company and the Security Registrar, duly executed by the Holder thereof or his attorney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Any registration of transfer or exchange of Securities may be subject to service charges by the Transfer Agent and the Company may require payment of a sum sufficient to cover any tax or other governmental charge that may be imposed in connection with any registration of transfer or exchange of Securities, other than exchanges pursuant to Section 3.04, Section 9.06, Section 11.07 or Section 13.05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(i) to issue, register the transfer of or exchange Securities of any series in definitive form during a period beginning at the opening of business 15 days before the day of the selection for redemption of Securities of that series under Section 11.03 or Section 12.03 and ending at the close of business on (A) if Securities of the series are issuable only as Registered Securities, the day of the mailing of the relevant notice of redemption and (B) if Securities of the series are issuable as Bearer Securities, the day of the first publication of the relevant notice of redemption or, (C) if Securities of the series are also issuable as Registered Securities and there is no publication, the mailing of the relevant notice of redemption, or (ii) to register the transfer of or exchange any Registered Security in definitive form so selected for redemption in whole or in part, except the unredeemed portion of any Security being redeemed in part, or (iii) to exchange any Bearer Security so selected for redemption except that such a Bearer Security may be exchanged for a Registered Security of that series and like tenor; </w:t>
      </w:r>
      <w:r>
        <w:rPr>
          <w:rFonts w:ascii="Times New Roman" w:hAnsi="Times New Roman"/>
          <w:sz w:val="20"/>
          <w:u w:val="single"/>
        </w:rPr>
        <w:t>provided</w:t>
      </w:r>
      <w:r>
        <w:rPr>
          <w:rFonts w:ascii="Times New Roman" w:hAnsi="Times New Roman"/>
          <w:sz w:val="20"/>
        </w:rPr>
        <w:t xml:space="preserve"> that such Registered Security shall be simultaneously surrendered for redemption, or (iv) to issue, register the transfer of or exchange any Security in definitive form which has been surrendered for repayment at the option of the Holder, except the portion, if any, of such Security not to be so repaid.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3.06 Mutilated, Destroyed, Lost and Stolen Securities. </w:t>
      </w:r>
    </w:p>
    <w:p>
      <w:pPr>
        <w:pStyle w:val="TextBody"/>
        <w:bidi w:val="0"/>
        <w:spacing w:before="120" w:after="0"/>
        <w:jc w:val="left"/>
        <w:rPr>
          <w:rFonts w:ascii="Times New Roman" w:hAnsi="Times New Roman"/>
          <w:sz w:val="20"/>
        </w:rPr>
      </w:pPr>
      <w:r>
        <w:rPr>
          <w:rFonts w:ascii="Times New Roman" w:hAnsi="Times New Roman"/>
          <w:sz w:val="20"/>
        </w:rPr>
        <w:t xml:space="preserve">If any mutilated Security or a Security with a mutilated coupon appertaining to it is surrendered to either Trustee, the Company shall execute and either Trustee shall authenticate and deliver in exchange therefor a new Security of the same series and of like tenor and principal amount and bearing a number not contemporaneously outstanding, with coupons corresponding to the coupons, if any, appertaining to the surrendered Security, or, in case any such mutilated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 or coupon has become or is about to become due and payable, the Company in its discretion may, instead of issuing a new Security, with coupons corresponding to the coupons, if any, appertaining to the surrendered Security, pay such Security or coupon. If there shall be delivered to the Company and to either Trustee (i) evidence to their satisfaction of the destruction, loss or theft of any Security or coupon and (ii) such security (or surety in the case of the Canadian Trustee) or indemnity as may be required by them to save each of them and any agent of either of them harmless, then, in the absence of notice to the Company or the Trustees that such Security or coupon has been acquired by a protected purchaser (as defined in Article 8 of the UCC), the Company shall execute and upon Company order either Trustee shall authenticate and deliver, in lieu of any such destroyed, lost or stolen Security or in exchange for the Security for which a destroyed, lost or stolen coupon appertains (with all appurtenant coupons not destroyed, lost or stolen), a new Security of the same series and of like tenor and principal amount and bearing a number not contemporaneously outstanding, with coupons corresponding to the coupons, if any, appertaining to such destroyed, lost or stolen Security or to the Security to which such destroyed, lost or stolen coupon appertains.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mutilated, destroyed, lost or stolen Security or to the Security to which such mutilated, destroyed, lost or stolen coupon appertains, pay such Security or coupon;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payment of principal of (and premium,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Trustees)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with its coupons, if any, issued pursuant to this Section in lieu of any mutilated, destroyed, lost or stolen Security or in exchange for a Security to which a mutilated, destroyed, lost or stolen coupon appertains, shall constitute an original additional contractual obligation of the Company, whether or not the mutilated, destroyed, lost or stolen Security and its coupons, if any, or the mutilated, destroyed, lost or stolen coupon shall be at any time enforceable by anyone, and the Holders of such Security shall be entitled to all the benefits of this Indenture equally and proportionately with the Holders of any and all other Securities of that series and their coupons, if any,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as amended or supplemented pursuant to this Indenture with respect to particular securities or generally are exclusive and shall preclude (to the extent lawful) all other rights and remedies with respect to the replacement or payment of mutilated, destroyed, lost or stolen Securities or coupons.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3.07 Payment of Principal; Premium; Interest; Interest Rights Preserved; Optional Interest Reset. </w:t>
      </w:r>
    </w:p>
    <w:p>
      <w:pPr>
        <w:pStyle w:val="TextBody"/>
        <w:bidi w:val="0"/>
        <w:spacing w:before="120" w:after="0"/>
        <w:jc w:val="left"/>
        <w:rPr>
          <w:rFonts w:ascii="Times New Roman" w:hAnsi="Times New Roman"/>
          <w:sz w:val="20"/>
        </w:rPr>
      </w:pPr>
      <w:r>
        <w:rPr>
          <w:rFonts w:ascii="Times New Roman" w:hAnsi="Times New Roman"/>
          <w:sz w:val="20"/>
        </w:rPr>
        <w:t xml:space="preserve">(a) Unless otherwise provided as contemplated by Section 3.01 with respect to any series of securities, principal of, and premium, if any, and interest, if any, on any Registered Security which is payable, and is punctually paid or duly provided for, on any Interest Payment Date or other date in which the principal of, and premium, if any, is payable shall be paid by the Paying Agent to the Person in whose name such Security (or one or more Predecessor Securities) is registered at the close of business on the Regular Record Date for such principal, premium or interest, as the case may be, at the office or agency of the Company maintained for such purpose pursuant to Section 10.02;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installment of principal of, and premium, if any, and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located in the United States maintained by the payee of a Holder of $2.0 million or more in aggregate principal amount of such Securities. The Paying Agent shall confirm in writing to the Canadian Trustee upon payment having been made to Holders of Canadian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as contemplated by Section 3.01 with respect to the Securities of any series, payment of interest, if any, may be made, in the case of a Bearer Security, by transfer to an account located outside the United States maintained by the payee.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as contemplated by Section 3.01, every permanent global Security will provide that interest, if any, payable on any Interest Payment Date will be paid to each of Euroclear and Clearstream with respect to that portion of such permanent global Security held for its account by the Common Depositary, for the purpose of permitting each of Euroclear and Clearstream to credit the interest, if any, received by it in respect of such permanent global Security to the accounts of the beneficial owners thereof.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Registered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specified in the Securities of such series (such defaulted interest and, if applicable, interest thereon herein collectively called “Defaulted Interest”) may be paid by the Company, at its election in each case, as provided in clause (1) or (2) below: </w:t>
      </w:r>
    </w:p>
    <w:p>
      <w:pPr>
        <w:pStyle w:val="TextBody"/>
        <w:bidi w:val="0"/>
        <w:spacing w:before="120" w:after="0"/>
        <w:jc w:val="left"/>
        <w:rPr>
          <w:rFonts w:ascii="Times New Roman" w:hAnsi="Times New Roman"/>
          <w:sz w:val="20"/>
        </w:rPr>
      </w:pPr>
      <w:r>
        <w:rPr>
          <w:rFonts w:ascii="Times New Roman" w:hAnsi="Times New Roman"/>
          <w:sz w:val="20"/>
        </w:rPr>
        <w:t xml:space="preserve">(i) 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Trustees in writing of the amount of Defaulted Interest proposed to be paid on each Registered Security of such series and the date of the proposed payment, and at the same time the Company shall deposit with either Trustee an amount of money in the Currency in which the Securities of such series are payable (except as otherwise specified pursuant to Section 3.01 for the Securities of such series and except, if applicable, as provided in Sections Section 3.12(b),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3.12(c) and Section 3.12(e)) equal to the aggregate amount proposed to be paid in respect of such Defaulted Interest or shall make arrangements satisfactory to the Trustees for such deposit on or prior to the date of the proposed payment, such money when deposited to be held in trust for the benefit of the Persons entitled to such Defaulted Interest as in this clause provided. Thereupon the Trustees shall fix a Special Record Date for the payment of such Defaulted Interest which shall be not more than 15 days and not less than 10 days prior to the date of the proposed payment and not less than 10 days after the receipt by the Trustees of the notice of the proposed payment. The Trustees shall promptly notify the Company of such Special Record Date and, in the name and at the expense of the Company, shall cause notice of the proposed payment of such Defaulted Interest and the Special Record Date therefor to be given in the manner provided in Section 1.06, not less than 10 days prior to such Special Record Date. Notice of the proposed payment of such Defaulted Interest and the Special Record Date therefor having been so given, such Defaulted Interest shall be paid to the Persons in whose name the Registered Securities of such series (or their respective Predecessor Securities) are registered at the close of business on such Special Record Date and shall no longer be payable pursuant to the following clause (2).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Trustees of the proposed payment pursuant to this clause, such manner of payment shall be deemed practicable by the Trustees.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and Section 3.05, each Security delivered under this Indenture upon registration of transfer of or in exchange for or in lieu of any other Security shall carry the rights to interest accrued and unpaid, and to accrue, which were carried by such other Security.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3.08 Optional Extension of Stated Maturity.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“Extension Period”) up to but not beyond the date (the “Final Maturity”) set forth on the face of such Security. The Company may exercise such option with respect to any Security by notifying the Trustees of such exercise at least 50 but not more than 60 days prior to the Stated Maturity of such Security in effect prior to the exercise of such option (the “Original Stated Maturity”). If the Company exercises such option, the Trustees shall transmit, in the manner provided for in Section 1.06, to the Holder of such Security not later than 40 days prior to the Original Stated Maturity a notice (the “Extension Notice”) indicating (i) the election of the Company to extend the Stated Maturity, (ii) the new Stated Maturity, (iii) the interest rate,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Trustees to transmit, in the manner provided for in Section 1.06, notice of such higher interest rate to the Holder of such Security. Such notice shall be irrevocable. All Securities with respect to which the Stated Maturity is extended will bear such higher interest rate.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Thirteen for repayment at the option of Holders, except that the period for delivery or notification to the Trustees shall be at least 25 but not more than 35 days prior to the Original Stated Maturity and except that, if the Holder has tendered any Security for repayment pursuant to an Extension Notice, the Holder may by written notice to the Trustees revoke such tender for repayment until the close of business on the tenth day before the Original Stated Maturity.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3.09 Persons Deemed Owners. </w:t>
      </w:r>
    </w:p>
    <w:p>
      <w:pPr>
        <w:pStyle w:val="TextBody"/>
        <w:bidi w:val="0"/>
        <w:spacing w:before="120" w:after="0"/>
        <w:jc w:val="left"/>
        <w:rPr>
          <w:rFonts w:ascii="Times New Roman" w:hAnsi="Times New Roman"/>
          <w:sz w:val="20"/>
        </w:rPr>
      </w:pPr>
      <w:r>
        <w:rPr>
          <w:rFonts w:ascii="Times New Roman" w:hAnsi="Times New Roman"/>
          <w:sz w:val="20"/>
        </w:rPr>
        <w:t xml:space="preserve">Prior to due presentment of a Registered Security for registration of transfer, the Company, the Trustees and any agent of the Company or the Trustees may treat the Person in whose name such Registered Security is registered as the owner of such Registered Security for the purpose of receiving payment of principal of (and premium, if any) and (subject to Sections Section 3.05 and Section 3.07) interest, if any, on such Security and for all other purposes whatsoever (other than the payment of Additional Amounts, if any), whether or not such Security be overdue, and none of the Company, the Trustees or any agent of the Company or the Trustees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Title to any Bearer Security and any coupons appertaining thereto shall pass by delivery. The Company, the Trustees and any agent of the Company or the Trustees may treat the bearer of any Bearer Security and the bearer of any coupon as the absolute owner of such Security or coupon for the purpose of receiving payment thereof or on account thereof and for all other purposes whatsoever, whether or not such Security or coupons be overdue, and none of the Company, the Trustees or any agent of the Company or the Trustees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Trustees,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any global Security, nothing herein shall prevent the Company, the Trustees, or any agent of the Company or the Trustees,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3.10 Cancellation. </w:t>
      </w:r>
    </w:p>
    <w:p>
      <w:pPr>
        <w:pStyle w:val="TextBody"/>
        <w:bidi w:val="0"/>
        <w:spacing w:before="120" w:after="0"/>
        <w:jc w:val="left"/>
        <w:rPr>
          <w:rFonts w:ascii="Times New Roman" w:hAnsi="Times New Roman"/>
          <w:sz w:val="20"/>
        </w:rPr>
      </w:pPr>
      <w:r>
        <w:rPr>
          <w:rFonts w:ascii="Times New Roman" w:hAnsi="Times New Roman"/>
          <w:sz w:val="20"/>
        </w:rPr>
        <w:t xml:space="preserve">All Securities and coupons surrendered for payment, redemption, repayment at the option of the Holder, registration of transfer or exchange or for credit against any current or future sinking fund payment shall, if surrendered to any Person other than a Trustee, be delivered to a Trustee. All securities and coupons so delivered to either Trustee shall be promptly cancelled by it. The Company may at any time deliver to either Trustee for cancellation any Securities previously authenticated and delivered hereunder which the Company may have acquired in any manner whatsoever, and may deliver to either Trustee (or to any other Person for delivery to such Trustee) for cancellation any Securities previously authenticated hereunder which the Company has not issued and sold, and all Securities so delivered shall be promptly cancelled by such Trustee. If the Company shall so acquire any of the Securities, however, such acquisition shall not operate as a redemption or satisfaction of the indebtedness represented by such Securities unless and until the same are surrendered to a Trustee for cancellation. No Securities shall be authenticated in lieu of or in exchange for any Securities cancelled as provided in this Section, except as expressly permitted by this Indenture. All cancelled Securities held by a Trustee shall be disposed of by such Trustee in accordance with its customary procedures and certification of their disposal delivered to the Company unless by Company Order the Company shall direct that cancelled Securities be returned to it.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3.11 Computation of Interest.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specified as contemplated by Section 3.01 with respect to any Securities, interest, if any, on the Securities of each series shall be computed on the basis of a 360-day year of twelve 30-day months. For the purposes of disclosure under the Interest Act (Canada), the yearly rate of interest to which interest calculated under a Security for any period in any calendar year (the “calculation period”) is equivalent, is the rate payable under a Security in respect of the calculation period multiplied by a fraction the numerator of which is the actual number of days in such calendar year and the denominator of which is the actual number of days in the calculation period. If the Canadian Trustee is appointed Paying Agent, it shall be entitled to rely on the calculations to be provided by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3.12 Currency and Manner of Payments in Respect of Securities.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Registered Securities of any series not permitting the election provided for in paragraph (b) below or the Holders of which have not made the election provided for in paragraph (b) below, and with respect to Bearer Securities of any series, except as provided in paragraph (d) below, payment of the principal of (and premium, if any) and interest, if any, on any Registered or Bearer Security of such series will be made in the Currency in which such Registered Security or Bearer Security, as the case may be, is payable. The provisions of this Section may be modified or superseded with respect to any Securities pursuant to Section 3.01. </w:t>
      </w:r>
    </w:p>
    <w:p>
      <w:pPr>
        <w:pStyle w:val="TextBody"/>
        <w:bidi w:val="0"/>
        <w:spacing w:before="120" w:after="0"/>
        <w:jc w:val="left"/>
        <w:rPr>
          <w:rFonts w:ascii="Times New Roman" w:hAnsi="Times New Roman"/>
          <w:sz w:val="20"/>
        </w:rPr>
      </w:pPr>
      <w:r>
        <w:rPr>
          <w:rFonts w:ascii="Times New Roman" w:hAnsi="Times New Roman"/>
          <w:sz w:val="20"/>
        </w:rPr>
        <w:t xml:space="preserve">(b) 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Trustees a written election with signature guarantees and in the applicable form established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3.01, not later than the close of business on the Election Date immediately preceding the applicable payment date. If the Canadian Trustee is appointed Paying Agent, the ability to receive payments of principal of (or premium, if any) or interest, if any in the Currency designated for election will be subject to the Canadian Trustee’s ability, as Paying Agent, to accommodate payment in the Currency elected. If a Holder so elects to receive such payments in any such Currency, such election will remain in effect for such Holder or any transferee of such Holder until changed by such Holder or such transferee by written notice to the Trustees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Trustees not later than the close of business on the applicable Election Date will be paid the amount due on the applicable payment date in the relevant Currency as provided in Section 3.12(a). The Trustees shall notify the Exchange Rate Agent as soon as practicable after the Election Date of the aggregate principal amount of Registered Securities for which Holders have made such written election. </w:t>
      </w:r>
    </w:p>
    <w:p>
      <w:pPr>
        <w:pStyle w:val="TextBody"/>
        <w:bidi w:val="0"/>
        <w:spacing w:before="120" w:after="0"/>
        <w:jc w:val="left"/>
        <w:rPr>
          <w:rFonts w:ascii="Times New Roman" w:hAnsi="Times New Roman"/>
          <w:sz w:val="20"/>
        </w:rPr>
      </w:pPr>
      <w:r>
        <w:rPr>
          <w:rFonts w:ascii="Times New Roman" w:hAnsi="Times New Roman"/>
          <w:sz w:val="20"/>
        </w:rPr>
        <w:t xml:space="preserve">(c) 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in the Currency in which Registered Securities of such series are payable, the 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Trustees for such series of Registered Securities an Exchange Rate Officers’ Certificate in respect of the Dollar or Foreign Currency payments to be made on such payment date. Unless otherwise specified pursuant to Section 3.01, the Dollar or Foreign Currency amount receivable by Holders of Registered Securities who have elected payment in a Currency as provided in paragraph (b) above shall be determined by the Company on the basis of the applicable Market Exchange Rate in effect on the third Business Day (the “Valuation Date”) immediately preceding each payment date, and such determination shall be conclusive and binding for all purposes,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“Conversion Date”), the Dollar shall be the Currency of payment for use on each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Unless otherwise specified pursuant to Section 3.01, the Dollar amount to be paid by the Company to the Trustees and by the Trustees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 </w:t>
      </w:r>
    </w:p>
    <w:p>
      <w:pPr>
        <w:pStyle w:val="TextBody"/>
        <w:bidi w:val="0"/>
        <w:spacing w:before="120" w:after="0"/>
        <w:jc w:val="left"/>
        <w:rPr>
          <w:rFonts w:ascii="Times New Roman" w:hAnsi="Times New Roman"/>
          <w:sz w:val="20"/>
        </w:rPr>
      </w:pPr>
      <w:r>
        <w:rPr>
          <w:rFonts w:ascii="Times New Roman" w:hAnsi="Times New Roman"/>
          <w:sz w:val="20"/>
        </w:rPr>
        <w:t xml:space="preserve">(e) 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 </w:t>
      </w:r>
    </w:p>
    <w:p>
      <w:pPr>
        <w:pStyle w:val="TextBody"/>
        <w:bidi w:val="0"/>
        <w:spacing w:before="120" w:after="0"/>
        <w:jc w:val="left"/>
        <w:rPr>
          <w:rFonts w:ascii="Times New Roman" w:hAnsi="Times New Roman"/>
          <w:sz w:val="20"/>
        </w:rPr>
      </w:pPr>
      <w:r>
        <w:rPr>
          <w:rFonts w:ascii="Times New Roman" w:hAnsi="Times New Roman"/>
          <w:sz w:val="20"/>
        </w:rPr>
        <w:t xml:space="preserve">(f) The “Dollar Equivalent of the Foreign Currency” shall be determined by the Exchange Rate Agent and shall be obtained for each subsequent payment date by converting the specified Foreign Currency into Dollars at the Market Exchange Rate on the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(g) The “Dollar Equivalent of the Currency Unit”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 </w:t>
      </w:r>
    </w:p>
    <w:p>
      <w:pPr>
        <w:pStyle w:val="TextBody"/>
        <w:bidi w:val="0"/>
        <w:spacing w:before="120" w:after="0"/>
        <w:jc w:val="left"/>
        <w:rPr>
          <w:rFonts w:ascii="Times New Roman" w:hAnsi="Times New Roman"/>
          <w:sz w:val="20"/>
        </w:rPr>
      </w:pPr>
      <w:r>
        <w:rPr>
          <w:rFonts w:ascii="Times New Roman" w:hAnsi="Times New Roman"/>
          <w:sz w:val="20"/>
        </w:rPr>
        <w:t xml:space="preserve">(h) For purposes of this Section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 xml:space="preserve">A “Component Currency” shall mean any Currency which, on the Conversion Date, was a component currency of the relevant currency unit, including, but not limited to, the Euro. </w:t>
      </w:r>
    </w:p>
    <w:p>
      <w:pPr>
        <w:pStyle w:val="TextBody"/>
        <w:bidi w:val="0"/>
        <w:spacing w:before="240" w:after="0"/>
        <w:jc w:val="left"/>
        <w:rPr>
          <w:rFonts w:ascii="Times New Roman" w:hAnsi="Times New Roman"/>
          <w:sz w:val="20"/>
        </w:rPr>
      </w:pPr>
      <w:r>
        <w:rPr>
          <w:rFonts w:ascii="Times New Roman" w:hAnsi="Times New Roman"/>
          <w:sz w:val="20"/>
        </w:rPr>
        <w:t xml:space="preserve">A “Specified Amount”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thereafter be Component Currencies. If, after the Conversion Date of the relevant currency unit, including, but not limited to, the Euro, a Conversion Event (other than any event referred to above in this definition of “Specified Amount”)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 </w:t>
      </w:r>
    </w:p>
    <w:p>
      <w:pPr>
        <w:pStyle w:val="TextBody"/>
        <w:bidi w:val="0"/>
        <w:spacing w:before="240" w:after="0"/>
        <w:jc w:val="left"/>
        <w:rPr/>
      </w:pPr>
      <w:r>
        <w:rPr/>
        <w:t>“</w:t>
      </w:r>
      <w:r>
        <w:rPr>
          <w:rFonts w:ascii="Times New Roman" w:hAnsi="Times New Roman"/>
          <w:sz w:val="20"/>
        </w:rPr>
        <w:t xml:space="preserve">Election Date” shall mean the date for any series of Registered Securities as specified pursuant to clause (15) of Section 3.01 by which the written election referred to in paragraph (b) above may be made.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Trustees and all Holders of such Securities denominated or payable in the relevant Currency. The Exchange Rate Agent shall promptly give written notice to the Company and the Trustees of any such decision or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determines in good faith that a Conversion Event has occurred with respect to a Foreign Currency, the Company will immediately give written notice thereof to the Trustees and to the Exchange Rate Agent (and the Trustees will promptly thereafter give notice in the manner provided for in Section 1.06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Trustees and to the Exchange Rate Agent (and the Trustees will promptly thereafter give notice in the manner provided for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Trustees and the Exchange Rate Agent. </w:t>
      </w:r>
    </w:p>
    <w:p>
      <w:pPr>
        <w:pStyle w:val="TextBody"/>
        <w:bidi w:val="0"/>
        <w:spacing w:before="240" w:after="0"/>
        <w:jc w:val="left"/>
        <w:rPr>
          <w:rFonts w:ascii="Times New Roman" w:hAnsi="Times New Roman"/>
          <w:sz w:val="20"/>
        </w:rPr>
      </w:pPr>
      <w:r>
        <w:rPr>
          <w:rFonts w:ascii="Times New Roman" w:hAnsi="Times New Roman"/>
          <w:sz w:val="20"/>
        </w:rPr>
        <w:t xml:space="preserve">The Trustees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3.13 Appointment and Registration of Successor Exchange Rate Agent. </w:t>
      </w:r>
    </w:p>
    <w:p>
      <w:pPr>
        <w:pStyle w:val="TextBody"/>
        <w:bidi w:val="0"/>
        <w:spacing w:before="120" w:after="0"/>
        <w:jc w:val="left"/>
        <w:rPr>
          <w:rFonts w:ascii="Times New Roman" w:hAnsi="Times New Roman"/>
          <w:sz w:val="20"/>
        </w:rPr>
      </w:pPr>
      <w:r>
        <w:rPr>
          <w:rFonts w:ascii="Times New Roman" w:hAnsi="Times New Roman"/>
          <w:sz w:val="20"/>
        </w:rPr>
        <w:t xml:space="preserve">(a) 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Section 3.01 for the purpose of determining the applicable rate of exchange and, if applicable, for the purpose of converting the issued Currency into the applicable payment Currency for the payment of principal (and premium, if any) and interest, if any, pursuant to Section 3.12. </w:t>
      </w:r>
    </w:p>
    <w:p>
      <w:pPr>
        <w:pStyle w:val="TextBody"/>
        <w:bidi w:val="0"/>
        <w:spacing w:before="120" w:after="0"/>
        <w:jc w:val="left"/>
        <w:rPr>
          <w:rFonts w:ascii="Times New Roman" w:hAnsi="Times New Roman"/>
          <w:sz w:val="20"/>
        </w:rPr>
      </w:pPr>
      <w:r>
        <w:rPr>
          <w:rFonts w:ascii="Times New Roman" w:hAnsi="Times New Roman"/>
          <w:sz w:val="20"/>
        </w:rPr>
        <w:t xml:space="preserve">(b) 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Trustees. </w:t>
      </w:r>
    </w:p>
    <w:p>
      <w:pPr>
        <w:pStyle w:val="TextBody"/>
        <w:bidi w:val="0"/>
        <w:spacing w:before="120" w:after="0"/>
        <w:jc w:val="left"/>
        <w:rPr>
          <w:rFonts w:ascii="Times New Roman" w:hAnsi="Times New Roman"/>
          <w:sz w:val="20"/>
        </w:rPr>
      </w:pPr>
      <w:r>
        <w:rPr>
          <w:rFonts w:ascii="Times New Roman" w:hAnsi="Times New Roman"/>
          <w:sz w:val="20"/>
        </w:rPr>
        <w:t xml:space="preserve">(c) 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Satisfaction and Discharge of Indenture.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any right to receive Additional Amounts as contemplated by Section 10.05) and the Trustees, at the expense of the Company, shall execute proper instruments acknowledging satisfaction and discharge of this Indenture as to such series when </w:t>
      </w:r>
    </w:p>
    <w:p>
      <w:pPr>
        <w:pStyle w:val="TextBody"/>
        <w:bidi w:val="0"/>
        <w:spacing w:before="240" w:after="0"/>
        <w:jc w:val="left"/>
        <w:rPr>
          <w:rFonts w:ascii="Times New Roman" w:hAnsi="Times New Roman"/>
          <w:sz w:val="20"/>
        </w:rPr>
      </w:pPr>
      <w:r>
        <w:rPr>
          <w:rFonts w:ascii="Times New Roman" w:hAnsi="Times New Roman"/>
          <w:sz w:val="20"/>
        </w:rPr>
        <w:t xml:space="preserve">4.01.1 either </w:t>
      </w:r>
    </w:p>
    <w:p>
      <w:pPr>
        <w:pStyle w:val="TextBody"/>
        <w:bidi w:val="0"/>
        <w:spacing w:before="120" w:after="0"/>
        <w:jc w:val="left"/>
        <w:rPr>
          <w:rFonts w:ascii="Times New Roman" w:hAnsi="Times New Roman"/>
          <w:sz w:val="20"/>
        </w:rPr>
      </w:pPr>
      <w:r>
        <w:rPr>
          <w:rFonts w:ascii="Times New Roman" w:hAnsi="Times New Roman"/>
          <w:sz w:val="20"/>
        </w:rPr>
        <w:t xml:space="preserve">(a) 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with either Trustee or any Paying Agent or segregated and held in trust by the Company and thereafter repaid to the Company, as provided in Section 10.03) have been delivered to either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(b) all Securities of such series and, in the case of (i) or (ii) below, any coupons appertaining thereto not theretofore delivered to either Trustee for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(ii) will become due and payable at their Stated Maturity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(iii) if redeemable at the option of the Company, are to be called for redemption within one year under arrangements satisfactory to the Trustees for the giving of notice of redemption by the Trustees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(i), (ii) or (iii) above, has irrevocably deposited or caused to be deposited with either Trustee as trust funds in trust for such purpose an amount in the Currency in which the Securities of such series are payable, sufficient to pay and discharge the entire indebtedness on such Securities not theretofore delivered to such Trustee for cancellation, for principal (and premium, if any), interest, if any, and Additional Amounts, if any, to the date of such deposit (in the case of Securities which have become due and payable) or to the Stated Maturity or Redemption Date,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4.01.2 the Company has paid or caused to be paid all other sums payable hereunder by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4.01.3 the Company has delivered to the Trustees an Officers’ Certificate and an Opinion of Counsel, each stating that all conditions precedent herein provided for relating to the satisfaction and discharge of this Indenture as to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Trustees under Section 6.07, the obligations of the Trustees to any Authenticating Agent under Section 6.12 and, if money shall have been deposited with the Trustees pursuant to subclause (b) of clause (1) of this Section, the obligations of the Trustees under Section 4.02 and the last paragraph of Section 10.03 shall survive.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4.02 Application of Trust Money.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last paragraph of Section 10.03, all money deposited with the Trustees pursuant to Section 4.01 shall be held in trust and applied by it, in accordance with the provisions of the Securities, the coupons and this Indenture, to the payment, either directly or through any Paying Agent (including the Company acting as its own Paying Agent) as the Trustees may determine, to the Persons entitled thereto, of the principal (and premium, if any) and interest, if any, for whose payment such money has been deposited with the Trustees; but such money need not be segregated from other funds except to the extent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Events of Default. </w:t>
      </w:r>
    </w:p>
    <w:p>
      <w:pPr>
        <w:pStyle w:val="TextBody"/>
        <w:bidi w:val="0"/>
        <w:spacing w:before="120" w:after="0"/>
        <w:jc w:val="left"/>
        <w:rPr/>
      </w:pPr>
      <w:r>
        <w:rPr/>
        <w:t>“</w:t>
      </w:r>
      <w:r>
        <w:rPr>
          <w:rFonts w:ascii="Times New Roman" w:hAnsi="Times New Roman"/>
          <w:sz w:val="20"/>
        </w:rPr>
        <w:t xml:space="preserve">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order of any court or any order, rule or regulation of any administrative or governmental body), unless such event is specifically deleted or modified in or pursuant to a supplemental indenture, Board Resolution or Officers’ Certificate establishing the terms of such series pursuant to Section 3.01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5.01.1 default in the payment of any interest (including Additional Amounts) due on any Security of that series, or any related coupon, when such interest or coupon becomes due and payable, and continuance of such default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5.01.2 default in the payment of the principal (or premium, if any), or any Additional Amounts in respect of any Security of that series at its Maturity; or </w:t>
      </w:r>
    </w:p>
    <w:p>
      <w:pPr>
        <w:pStyle w:val="TextBody"/>
        <w:bidi w:val="0"/>
        <w:spacing w:before="120" w:after="0"/>
        <w:jc w:val="left"/>
        <w:rPr>
          <w:rFonts w:ascii="Times New Roman" w:hAnsi="Times New Roman"/>
          <w:sz w:val="20"/>
        </w:rPr>
      </w:pPr>
      <w:r>
        <w:rPr>
          <w:rFonts w:ascii="Times New Roman" w:hAnsi="Times New Roman"/>
          <w:sz w:val="20"/>
        </w:rPr>
        <w:t xml:space="preserve">5.01.3 default in the deposit of any sinking fund or analogous payment when due by the terms of any Security of that series and Article Twelve; or </w:t>
      </w:r>
    </w:p>
    <w:p>
      <w:pPr>
        <w:pStyle w:val="TextBody"/>
        <w:bidi w:val="0"/>
        <w:spacing w:before="120" w:after="0"/>
        <w:jc w:val="left"/>
        <w:rPr>
          <w:rFonts w:ascii="Times New Roman" w:hAnsi="Times New Roman"/>
          <w:sz w:val="20"/>
        </w:rPr>
      </w:pPr>
      <w:r>
        <w:rPr>
          <w:rFonts w:ascii="Times New Roman" w:hAnsi="Times New Roman"/>
          <w:sz w:val="20"/>
        </w:rPr>
        <w:t xml:space="preserve">5.01.4 default in the performance, or breach, of any of the covenants contained in Article Eight of this Indenture and the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 </w:t>
      </w:r>
    </w:p>
    <w:p>
      <w:pPr>
        <w:pStyle w:val="TextBody"/>
        <w:bidi w:val="0"/>
        <w:spacing w:before="120" w:after="0"/>
        <w:jc w:val="left"/>
        <w:rPr>
          <w:rFonts w:ascii="Times New Roman" w:hAnsi="Times New Roman"/>
          <w:sz w:val="20"/>
        </w:rPr>
      </w:pPr>
      <w:r>
        <w:rPr>
          <w:rFonts w:ascii="Times New Roman" w:hAnsi="Times New Roman"/>
          <w:sz w:val="20"/>
        </w:rPr>
        <w:t xml:space="preserve">5.01.5 default in the performance, or breach, of any covenant or agreement of the Company in this Indenture which affects or is applicable to the Securities of that series (other than a covenant or agreement, a default in whose performance or whose breach is elsewhere in this Section specifically dealt with), and continuance of such default or breach for a period of 60 days after there has been given, by registered or certified mail, to the Company by the Trustees or to the Company and the Trustees by the Holders of at least 25% in principal amount of all Outstanding Securities of that series a written notice specifying such default or breach and requiring it to be remedied and stating that such notice is a “Notice of Default” hereunder; or </w:t>
      </w:r>
    </w:p>
    <w:p>
      <w:pPr>
        <w:pStyle w:val="TextBody"/>
        <w:bidi w:val="0"/>
        <w:spacing w:before="120" w:after="0"/>
        <w:jc w:val="left"/>
        <w:rPr>
          <w:rFonts w:ascii="Times New Roman" w:hAnsi="Times New Roman"/>
          <w:sz w:val="20"/>
        </w:rPr>
      </w:pPr>
      <w:r>
        <w:rPr>
          <w:rFonts w:ascii="Times New Roman" w:hAnsi="Times New Roman"/>
          <w:sz w:val="20"/>
        </w:rPr>
        <w:t xml:space="preserve">5.01.6 [Reserved.] </w:t>
      </w:r>
    </w:p>
    <w:p>
      <w:pPr>
        <w:pStyle w:val="TextBody"/>
        <w:bidi w:val="0"/>
        <w:spacing w:before="120" w:after="0"/>
        <w:jc w:val="left"/>
        <w:rPr>
          <w:rFonts w:ascii="Times New Roman" w:hAnsi="Times New Roman"/>
          <w:sz w:val="20"/>
        </w:rPr>
      </w:pPr>
      <w:r>
        <w:rPr>
          <w:rFonts w:ascii="Times New Roman" w:hAnsi="Times New Roman"/>
          <w:sz w:val="20"/>
        </w:rPr>
        <w:t xml:space="preserve">5.01.7 the entry of a decree or order by a court having jurisdiction in the premises adjudging the Company bankrupt or insolvent, or approving as properly filed a petition seeking reorganization, arrangement, adjustment or composition of or in respect of the Company under or subject to the Bankruptcy and Insolvency Act (Canada), the Companies’ Creditors Arrangement Act (Canada), the U.S. Federal Bankruptcy Code or any other federal, provincial, state or foreign bankruptcy, insolvency or analogous laws, or the issuance of a sequestration order or the (appointment of a receiver, liquidator, assignee, trustee, sequestrator (or other similar official)) of the Company or in receipt of any substantial part of the property of the Company, and any such decree, order or appointment continues unstayed and in effect for a period of 90 consecutive days; or </w:t>
      </w:r>
    </w:p>
    <w:p>
      <w:pPr>
        <w:pStyle w:val="TextBody"/>
        <w:bidi w:val="0"/>
        <w:spacing w:before="120" w:after="0"/>
        <w:jc w:val="left"/>
        <w:rPr>
          <w:rFonts w:ascii="Times New Roman" w:hAnsi="Times New Roman"/>
          <w:sz w:val="20"/>
        </w:rPr>
      </w:pPr>
      <w:r>
        <w:rPr>
          <w:rFonts w:ascii="Times New Roman" w:hAnsi="Times New Roman"/>
          <w:sz w:val="20"/>
        </w:rPr>
        <w:t xml:space="preserve">5.01.8 the institution by the Company of proceedings to be adjudicated bankrupt or insolvent, or the consent by it to the institution of bankruptcy or insolvency proceedings against it, or the filing by it of a petition or answer or consent seeking reorganization or relief under or subject to the Bankruptcy and Insolvency Act (Canada), the Companies’ Creditors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 (Canada), the U.S. Federal Bankruptcy Code or any other federal, provincial, state or foreign bankruptcy, insolvency or analogous laws or the consent by it to the filing of any such petition or to the appointment of a receiver, liquidator, assignee, trustee, sequestrator (or other similar official) of the Company or of any substantial part of its property, or the making by it of a general assignment for the benefit of creditors, or the admission by it in writing of its inability to pay its debts generally as they become due or the taking by it of corporate action in furtherance of any of the aforesaid purposes; or </w:t>
      </w:r>
    </w:p>
    <w:p>
      <w:pPr>
        <w:pStyle w:val="TextBody"/>
        <w:bidi w:val="0"/>
        <w:spacing w:before="120" w:after="0"/>
        <w:jc w:val="left"/>
        <w:rPr>
          <w:rFonts w:ascii="Times New Roman" w:hAnsi="Times New Roman"/>
          <w:sz w:val="20"/>
        </w:rPr>
      </w:pPr>
      <w:r>
        <w:rPr>
          <w:rFonts w:ascii="Times New Roman" w:hAnsi="Times New Roman"/>
          <w:sz w:val="20"/>
        </w:rPr>
        <w:t xml:space="preserve">5.01.9 any other Event of Default provided with respect to Securities of that series.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5.02 Acceleration of Maturity; Rescission and Annulment.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described in clause (1), (2), (3), (4), (5), (6) or (9) of Section 5.01 with respect to Securities of any series at the time Outstanding occurs and is continuing, then in every such case, either Trustee or the Holders of not less than 25% in principal amount of the Outstanding Securities of that series, may declare the principal amount (or, if the Securities of that series are Original Issue Discount Securities or Indexed Securities, such portion of the principal amount as may be specified in the terms of that series) of all of the Securities of that series and all interest thereon to be due and payable immediately, by a notice in writing to the Company (and to the Trustees if given by Holders), and upon any such declaration such principal amount (or specified portion thereof) shall become immediately due and payable. If an Event of Default specified in Section 5.01.7 or 5.01.8 occurs and is continuing, then the principal amount of all the Securities shall ipso facto become and be immediately due and payable without any declaration or other act on the part of the Trustees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Securities of any series (or of all series, as the case may be) has been made and before a judgment or decree for payment of the money due has been obtained by either Trustee as hereinafter provided in this Article, the Holders of a majority in principal amount of the Outstanding Securities of that series (or of all series, as the case may be), by written notice to the Company and the Trustees, may rescind and annul such declaration and its consequences if </w:t>
      </w:r>
    </w:p>
    <w:p>
      <w:pPr>
        <w:pStyle w:val="TextBody"/>
        <w:bidi w:val="0"/>
        <w:spacing w:before="120" w:after="0"/>
        <w:jc w:val="left"/>
        <w:rPr>
          <w:rFonts w:ascii="Times New Roman" w:hAnsi="Times New Roman"/>
          <w:sz w:val="20"/>
        </w:rPr>
      </w:pPr>
      <w:r>
        <w:rPr>
          <w:rFonts w:ascii="Times New Roman" w:hAnsi="Times New Roman"/>
          <w:sz w:val="20"/>
        </w:rPr>
        <w:t xml:space="preserve">5.02.1 the Company has paid or deposited with either Trustee a sum sufficient to pay in the Currency in which the Securities of such series are payable (except as otherwise specified pursuant to Section 3.01 for the Securities of such series and except, if applicable, as provided in Sections Section 3.12(b), Section 3.12(d) and Section 3.12(e)), </w:t>
      </w:r>
    </w:p>
    <w:p>
      <w:pPr>
        <w:pStyle w:val="TextBody"/>
        <w:bidi w:val="0"/>
        <w:spacing w:before="120" w:after="0"/>
        <w:jc w:val="left"/>
        <w:rPr>
          <w:rFonts w:ascii="Times New Roman" w:hAnsi="Times New Roman"/>
          <w:sz w:val="20"/>
        </w:rPr>
      </w:pPr>
      <w:r>
        <w:rPr>
          <w:rFonts w:ascii="Times New Roman" w:hAnsi="Times New Roman"/>
          <w:sz w:val="20"/>
        </w:rPr>
        <w:t xml:space="preserve">(a) all overdue interest, if any, on all Outstanding Securities of that series (or of all series, as the case may be) and any related coupons, </w:t>
      </w:r>
    </w:p>
    <w:p>
      <w:pPr>
        <w:pStyle w:val="TextBody"/>
        <w:bidi w:val="0"/>
        <w:spacing w:before="120" w:after="0"/>
        <w:jc w:val="left"/>
        <w:rPr>
          <w:rFonts w:ascii="Times New Roman" w:hAnsi="Times New Roman"/>
          <w:sz w:val="20"/>
        </w:rPr>
      </w:pPr>
      <w:r>
        <w:rPr>
          <w:rFonts w:ascii="Times New Roman" w:hAnsi="Times New Roman"/>
          <w:sz w:val="20"/>
        </w:rPr>
        <w:t xml:space="preserve">(b) all unpaid principal of (and premium, if any, on) any Outstanding Securities of that series (or of all series, as the case may be) which has become due otherwise than by such declaration of acceleration, and interest on such unpaid principal (and premium, if any) at the rate or rates prescribed therefor in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that payment of such interest is legally enforceable, interest on overdue interest at the rate or rates prescribed therefor in such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sums paid or advanced by the Trustees hereunder and the reasonable compensation, expenses, disbursements and advances of the Trustees, their agents and counsel; and </w:t>
      </w:r>
    </w:p>
    <w:p>
      <w:pPr>
        <w:pStyle w:val="TextBody"/>
        <w:bidi w:val="0"/>
        <w:spacing w:before="120" w:after="0"/>
        <w:jc w:val="left"/>
        <w:rPr>
          <w:rFonts w:ascii="Times New Roman" w:hAnsi="Times New Roman"/>
          <w:sz w:val="20"/>
        </w:rPr>
      </w:pPr>
      <w:r>
        <w:rPr>
          <w:rFonts w:ascii="Times New Roman" w:hAnsi="Times New Roman"/>
          <w:sz w:val="20"/>
        </w:rPr>
        <w:t xml:space="preserve">5.02.2 all Events of Default with respect to Securities of that series (or of all series, as the case may be), other than the non-payment of amounts of principal of (or premium, if any, on) or interest on Securities of that series (or of all series, as the case may be) which have become due solely by such declaration of acceleration, have been cured or waived as provided in Section 5.13.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5.03 Collection of Debt and Suits for Enforcement by Trustees.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(i) default is made in the payment of any installment of interest on any Security and any related coupon when such interest becomes due and payable and such default continues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(ii) default is made in the payment of the principal of (or premium, if any, on) any Security at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then the Company will, upon demand of either Trustee, pay to the U.S. Trustee for the benefit of the Holders of such Securities and coupons, the whole amount then due and payable on such Securities and coupons for principal (and premium, if any) and interest, if any, and interest on any overdue principal (and premium, if any)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Trustees, their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each of the Trustees, in its own name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(or of all series, as the case may be) occurs and is continuing, either Trustee may in its discretion proceed to protect and enforce its rights and the rights of the Holders of Securities of such series (or of all series, as the case may be)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5.04 Trustees May File Proofs of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each Trustee (irrespective of whether the principal of the Securities shall then be due and payable as therein expressed or by declaration or otherwise and irrespective of whether either Trustee shall have made any demand on the Company for the payment of overdue principal, premium, if any,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(i) to file and prove a claim for the whole amount of principal (and premium, if any), or such portion of the principal amount of any series of Original Issue Discount Securities or Indexed Securities as may be specified in the terms of such series, and interest, if any, owing and unpaid in respect of the Securities and to file such other papers or documents as may be necessary or advisable in order to have the claims of such Trustee (including any claim for the reasonable compensation, expenses, disbursements and advances of such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(ii) to collect and receive any moneys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to make such payments to such Trustee and, in the event that such Trustee shall consent to the making of such payments directly to the Holders, to pay to such Trustee any amount due to it for the reasonable compensation, expenses, disbursements and advances of each Trustee, its agents and counsel, and any other amounts due to such Trustee under Section 6.07.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Trustees to authorize or consent to or accept or adopt on behalf of any Holder any plan of reorganization, arrangement, adjustment or composition affecting the Securities or the rights of any Holder thereof or to authorize the Trustees to vote in respect of the claim of any Holder in any such proceeding.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5.05 Trustees May Enforce Claims Without Possession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All rights of action and claims under this Indenture or the Securities or coupons may be prosecuted and enforced by the Trustees without the possession of any of the Securities or coupons or the production thereof in any proceeding relating thereto, and any such proceeding instituted by a Trustee shall be brought in its own name as trustee of an express trust, and any recovery of judgment shall, after provision for the payment of the reasonable compensation, expenses, disbursements and advances of such Trustee, its agents and counsel, be for the ratable benefit of the Holders of the Securities and coupons in respect of which such judgment has been recovered.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5.06 Application of Money Collected. </w:t>
      </w:r>
    </w:p>
    <w:p>
      <w:pPr>
        <w:pStyle w:val="TextBody"/>
        <w:bidi w:val="0"/>
        <w:spacing w:before="120" w:after="0"/>
        <w:jc w:val="left"/>
        <w:rPr>
          <w:rFonts w:ascii="Times New Roman" w:hAnsi="Times New Roman"/>
          <w:sz w:val="20"/>
        </w:rPr>
      </w:pPr>
      <w:r>
        <w:rPr>
          <w:rFonts w:ascii="Times New Roman" w:hAnsi="Times New Roman"/>
          <w:sz w:val="20"/>
        </w:rPr>
        <w:t xml:space="preserve">Any money collected by a Trustee pursuant to this Article shall be applied in the following order, at the date or dates fixed by the Trustees and, in case of the distribution of such money on account or principal (or premium, if any) or interest, if any, upon presentation of the Securities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coupons, or both, as the case may be, and the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the Trustees under Section 6.07; </w:t>
      </w:r>
    </w:p>
    <w:p>
      <w:pPr>
        <w:pStyle w:val="TextBody"/>
        <w:bidi w:val="0"/>
        <w:spacing w:before="120" w:after="0"/>
        <w:jc w:val="left"/>
        <w:rPr>
          <w:rFonts w:ascii="Times New Roman" w:hAnsi="Times New Roman"/>
          <w:sz w:val="20"/>
        </w:rPr>
      </w:pPr>
      <w:r>
        <w:rPr>
          <w:rFonts w:ascii="Times New Roman" w:hAnsi="Times New Roman"/>
          <w:sz w:val="20"/>
        </w:rPr>
        <w:t xml:space="preserve">Second: to the payment of the amounts then due and unpaid for principal of (and premium, if any) and interest, if any, on the Securities and coupons in respect of which or for the benefit of which such money has been collected, ratably, without preference or priority of any kind, according to the amounts due and payable on such Securities and coupons for principal (and premium, if any) and interest, if any, respectively; and </w:t>
      </w:r>
    </w:p>
    <w:p>
      <w:pPr>
        <w:pStyle w:val="TextBody"/>
        <w:bidi w:val="0"/>
        <w:spacing w:before="120" w:after="0"/>
        <w:jc w:val="left"/>
        <w:rPr>
          <w:rFonts w:ascii="Times New Roman" w:hAnsi="Times New Roman"/>
          <w:sz w:val="20"/>
        </w:rPr>
      </w:pPr>
      <w:r>
        <w:rPr>
          <w:rFonts w:ascii="Times New Roman" w:hAnsi="Times New Roman"/>
          <w:sz w:val="20"/>
        </w:rPr>
        <w:t xml:space="preserve">Third: the balance, if any, to the Person or Persons entitled thereto.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5.07 Limitation on Suits. </w:t>
      </w:r>
    </w:p>
    <w:p>
      <w:pPr>
        <w:pStyle w:val="TextBody"/>
        <w:bidi w:val="0"/>
        <w:spacing w:before="120" w:after="0"/>
        <w:jc w:val="left"/>
        <w:rPr>
          <w:rFonts w:ascii="Times New Roman" w:hAnsi="Times New Roman"/>
          <w:sz w:val="20"/>
        </w:rPr>
      </w:pPr>
      <w:r>
        <w:rPr>
          <w:rFonts w:ascii="Times New Roman" w:hAnsi="Times New Roman"/>
          <w:sz w:val="20"/>
        </w:rPr>
        <w:t xml:space="preserve">No Holder of any Security of any series or any related coupons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(i) such Holder has previously given written notice to the Trustees of a continuing Event of Default with respect to the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(ii) the Holders of not less than 25% in principal amount of the Outstanding Securities of that series in the case of any Event of Default described in clause (1), (2), (3), (4), (5), (6) or (9) of Section 5.01, or, in the case of any Event of Default described in clause (7) or (8) of Section 5.01, the Holders of not less than 25% in principal amount of all Outstanding Securities, shall have made written request to the Trustees to institute proceedings in respect of such Event of Default in their own names as Trustees hereunder; </w:t>
      </w:r>
    </w:p>
    <w:p>
      <w:pPr>
        <w:pStyle w:val="TextBody"/>
        <w:bidi w:val="0"/>
        <w:spacing w:before="120" w:after="0"/>
        <w:jc w:val="left"/>
        <w:rPr>
          <w:rFonts w:ascii="Times New Roman" w:hAnsi="Times New Roman"/>
          <w:sz w:val="20"/>
        </w:rPr>
      </w:pPr>
      <w:r>
        <w:rPr>
          <w:rFonts w:ascii="Times New Roman" w:hAnsi="Times New Roman"/>
          <w:sz w:val="20"/>
        </w:rPr>
        <w:t xml:space="preserve">(iii) such Holder or Holders have offered to the Trustees reasonable indemnity against the costs, expenses and liabilities to be incurred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(iv) the Trustees for 60 days after their receipt of such notice, request and offer of indemnity have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(v) no direction inconsistent with such written request has been given to the Trustees during such 60-day period by the Holders of a majority or more in principal amount of the Outstanding Securities of that series in the case of any Event of Default described in clause (1), (2), (3), (4), (5), (6) or (9) of Section 5.01, or in the case of any Event of Default described in clause (7) or (8) of Section 5.01, by the Holders of a majority or more in principal amount of all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that no one or more of such Holders shall have any right in any manner whatever by virtue of, or by availing of, any provision of this Indenture to affect, disturb or prejudice the rights of any other Holders of Securities of the same series, in the case of any Event of Default described in clause (1), (2), (3), (4), (5), (6) or (9) of Section 5.01, or of Holders of all Securities in the case of any Event of Default described in clause (7) or (8) of Section 5.01, or to obtain or to seek to obtain priority or preference over any other of such Holders or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right under this Indenture, except in the manner herein provided and for the equal and ratable benefit of all Holders of Securities of the same series, in the case of any Event of Default described in clause (1), (2), (3), (4), (5), (6) or (9) of Section 5.01, or of Holders of all Securities’ in the case of any Event of Default described in clause (7) or (8) of Section 5.01.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5.08 Unconditional Right of Holders to Receive Principal, Premium and Interest.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as provided herein (including, if applicable, Article Fourteen) and in such Security, of the principal of (and premium, if any) and (subject to Section 3.07) interest, if any, on, such Security or payment of such coupon on the respective Stated Maturities expressed in such Security or coupon (or, in the case of redemption, on the Redemption Date) and subject to the limitations on a Holder’s ability to institute suit contained Section 5.07,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5.09 Restoration of Rights and Remedies. </w:t>
      </w:r>
    </w:p>
    <w:p>
      <w:pPr>
        <w:pStyle w:val="TextBody"/>
        <w:bidi w:val="0"/>
        <w:spacing w:before="120" w:after="0"/>
        <w:jc w:val="left"/>
        <w:rPr>
          <w:rFonts w:ascii="Times New Roman" w:hAnsi="Times New Roman"/>
          <w:sz w:val="20"/>
        </w:rPr>
      </w:pPr>
      <w:r>
        <w:rPr>
          <w:rFonts w:ascii="Times New Roman" w:hAnsi="Times New Roman"/>
          <w:sz w:val="20"/>
        </w:rPr>
        <w:t xml:space="preserve">If either Trustee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Company, the Trustees and the Holders of Securities and coupons shall be restored severally and respectively to their former positions hereunder and thereafter all rights and remedies of the Trustees and the Holders shall continue as though no such proceeding had been instituted.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5.10 Rights and Remedies Cumulative.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or coupons in the last paragraph of Section 3.06, no right or remedy herein conferred upon or reserved to the Trustees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5.11 Delay or Omission Not Waiver. </w:t>
      </w:r>
    </w:p>
    <w:p>
      <w:pPr>
        <w:pStyle w:val="TextBody"/>
        <w:bidi w:val="0"/>
        <w:spacing w:before="120" w:after="0"/>
        <w:jc w:val="left"/>
        <w:rPr>
          <w:rFonts w:ascii="Times New Roman" w:hAnsi="Times New Roman"/>
          <w:sz w:val="20"/>
        </w:rPr>
      </w:pPr>
      <w:r>
        <w:rPr>
          <w:rFonts w:ascii="Times New Roman" w:hAnsi="Times New Roman"/>
          <w:sz w:val="20"/>
        </w:rPr>
        <w:t xml:space="preserve">No delay or omission of the Trustees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Trustees or to the Holders may be exercised from time to time, and as often as may be deemed expedient, by the Trustees or by the Holders, as the case may be.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5.12 Control by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Securities of any series, the Holders of not less than a majority in principal amount of the Outstanding Securities of such series shall have the right to direct the time, method and place of conducting any proceeding for any remedy available to the Trustees, or exercising any trust or power conferred on the Trustees, relating to or arising under clause (1), (2), (3), (4), (5), (6) or (9) of Section 5.01, and, with respect to all Securities, the Holders of not less than a majority in principal amount of all Outstanding Securities shall have the right to direct the time, method and place of conducting any proceeding for any remedy available to the Trustees, or exercising any trust or power conferred on the Trustees, not relating to or arising under clause (1), (2), (3), (4), (5), (6) or (9) of Section 5.01, provided that in each case </w:t>
      </w:r>
    </w:p>
    <w:p>
      <w:pPr>
        <w:pStyle w:val="TextBody"/>
        <w:bidi w:val="0"/>
        <w:spacing w:before="120" w:after="0"/>
        <w:jc w:val="left"/>
        <w:rPr>
          <w:rFonts w:ascii="Times New Roman" w:hAnsi="Times New Roman"/>
          <w:sz w:val="20"/>
        </w:rPr>
      </w:pPr>
      <w:r>
        <w:rPr>
          <w:rFonts w:ascii="Times New Roman" w:hAnsi="Times New Roman"/>
          <w:sz w:val="20"/>
        </w:rPr>
        <w:t xml:space="preserve">(i) such direction shall not be in conflict with any rule of law or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Trustees may take any other action deemed proper by the Trustees which is not inconsistent with such direction, and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Trustees need not take any action which might involve them in personal liability or be unjustly prejudicial to the Holders of Securities of such series not consenting.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5.13 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5.02, the Holders of not less than a majority in principal amount of the Outstanding Securities of any series may on behalf of the Holders of all the Securities of such series waive any past default described in clause (1), (2), (3), (4), (5), (6) or (9) of Section 5.01 (or, in the case of a default described in clause (7) or (8) of Section 5.01, the Holders of not less than a majority in principal amount of all Outstanding Securities may waive any such past default), and its consequences, except a default </w:t>
      </w:r>
    </w:p>
    <w:p>
      <w:pPr>
        <w:pStyle w:val="TextBody"/>
        <w:bidi w:val="0"/>
        <w:spacing w:before="120" w:after="0"/>
        <w:jc w:val="left"/>
        <w:rPr>
          <w:rFonts w:ascii="Times New Roman" w:hAnsi="Times New Roman"/>
          <w:sz w:val="20"/>
        </w:rPr>
      </w:pPr>
      <w:r>
        <w:rPr>
          <w:rFonts w:ascii="Times New Roman" w:hAnsi="Times New Roman"/>
          <w:sz w:val="20"/>
        </w:rPr>
        <w:t xml:space="preserve">(i) in respect of the payment of the principal of (or premium, if any) or interest, if any, on any Security or any related coupon, or </w:t>
      </w:r>
    </w:p>
    <w:p>
      <w:pPr>
        <w:pStyle w:val="TextBody"/>
        <w:bidi w:val="0"/>
        <w:spacing w:before="120" w:after="0"/>
        <w:jc w:val="left"/>
        <w:rPr>
          <w:rFonts w:ascii="Times New Roman" w:hAnsi="Times New Roman"/>
          <w:sz w:val="20"/>
        </w:rPr>
      </w:pPr>
      <w:r>
        <w:rPr>
          <w:rFonts w:ascii="Times New Roman" w:hAnsi="Times New Roman"/>
          <w:sz w:val="20"/>
        </w:rPr>
        <w:t xml:space="preserve">(ii) in respect of a covenant or provision hereof which under Article Nine cannot be modified or amended without the consent of the Holder of each outstanding Security of such series affected.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5.14 Waiver of Stay or Extension Laws.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covenants that it will not hinder, delay or impede the execution of any power herein granted to the Trustees, but will suffer and permit the execution of every such power as though no such law had been enacted.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5.15 Undertaking for Costs. </w:t>
      </w:r>
    </w:p>
    <w:p>
      <w:pPr>
        <w:pStyle w:val="TextBody"/>
        <w:bidi w:val="0"/>
        <w:spacing w:before="12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either Trustee for any action taken, suffered or omitted by it as Trustee, a court may require any party litigant in such suit to file an undertaking to pay the costs of such suit, and may assess costs against any such party litigant, in the manner and to the extent provided in Trust Indenture Legislation;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Section nor the provisions of Section 315(e) of the Trust Indenture Act shall apply to any suit instituted by either Trustee or by any Holder or group of Holders holding more than 10% in principal amount of all Outstanding Securities or by any Holder of any Security on any suit for the enforcement of the right to receive the principal of and interest (including any Additional Amounts) on any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THE TRUSTEES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6.01 Notice of Defaults. </w:t>
      </w:r>
    </w:p>
    <w:p>
      <w:pPr>
        <w:pStyle w:val="TextBody"/>
        <w:bidi w:val="0"/>
        <w:spacing w:before="120" w:after="0"/>
        <w:jc w:val="left"/>
        <w:rPr>
          <w:rFonts w:ascii="Times New Roman" w:hAnsi="Times New Roman"/>
          <w:sz w:val="20"/>
        </w:rPr>
      </w:pPr>
      <w:r>
        <w:rPr>
          <w:rFonts w:ascii="Times New Roman" w:hAnsi="Times New Roman"/>
          <w:sz w:val="20"/>
        </w:rPr>
        <w:t xml:space="preserve">Each Trustee shall promptly give the other Trustee notice of any Default or Event of Default known to it. Within a reasonable time, but no more than 30 days after either Trustee has knowledge of any Default hereunder with respect to the Securities of any series, one or both of the Trustees shall transmit in the manner and to the extent provided in Trust Indenture Legislation, notice of such Default hereunder known to either Trustee, unless such Default shall have been cured or waived (and, in the case where such Default shall have been cured, the Trustees shall notify the Holders in writing of such cure in writing within a reasonable time, but not exceeding 30 days, after the Trustees have become aware that the Default has been cured);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of a Default in the payment of the principal of (or premium, if any) or interest, if any, on any Security of such series or in the payment of any sinking fund installment with respect to Securities of such series, the Trustees shall be protected in withholding such notice if and so long as the board of directors, the executive committee or a trust committee of directors and/or Responsible Officers of each Trustee in good faith determine that the withholding of such notice is in the interest of the Holders of Securities of such series and any related coupons and so advises the Company in writing;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Default of the character specified in Section 5.01.5 with respect to Securities of such series, no such notice to Holders shall be given until at least 10 days after the occurrence thereof.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6.02 Certain Duties and Responsibilities of Trustees. </w:t>
      </w:r>
    </w:p>
    <w:p>
      <w:pPr>
        <w:pStyle w:val="TextBody"/>
        <w:bidi w:val="0"/>
        <w:spacing w:before="120" w:after="0"/>
        <w:jc w:val="left"/>
        <w:rPr>
          <w:rFonts w:ascii="Times New Roman" w:hAnsi="Times New Roman"/>
          <w:sz w:val="20"/>
        </w:rPr>
      </w:pPr>
      <w:r>
        <w:rPr>
          <w:rFonts w:ascii="Times New Roman" w:hAnsi="Times New Roman"/>
          <w:sz w:val="20"/>
        </w:rPr>
        <w:t xml:space="preserve">(a) The Trustees, prior to the occurrence of an Event of Default and after the curing of all Events of Default that may have occurred, shall undertake to perform with respect to the Securities of any series such duties and only such duties as are specifically set forth in this Indenture, and no implied covenants shall be read into this Indenture against the Trustees. </w:t>
      </w:r>
    </w:p>
    <w:p>
      <w:pPr>
        <w:pStyle w:val="TextBody"/>
        <w:bidi w:val="0"/>
        <w:spacing w:before="120" w:after="0"/>
        <w:jc w:val="left"/>
        <w:rPr>
          <w:rFonts w:ascii="Times New Roman" w:hAnsi="Times New Roman"/>
          <w:sz w:val="20"/>
        </w:rPr>
      </w:pPr>
      <w:r>
        <w:rPr>
          <w:rFonts w:ascii="Times New Roman" w:hAnsi="Times New Roman"/>
          <w:sz w:val="20"/>
        </w:rPr>
        <w:t xml:space="preserve">(b) In all instances, in the exercise of the powers, rights, duties and obligations prescribed or conferred by the terms of this Indenture, each Trustee shall act honestly and in good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faith with a view to the best interests of the Holders and exercise that degree of care, diligence and skill that a reasonably prudent trustee in respect of indentures for the purpose of issuing corporate debt obligations would exercise in comparable circumstances. </w:t>
      </w:r>
    </w:p>
    <w:p>
      <w:pPr>
        <w:pStyle w:val="TextBody"/>
        <w:bidi w:val="0"/>
        <w:spacing w:before="120" w:after="0"/>
        <w:jc w:val="left"/>
        <w:rPr>
          <w:rFonts w:ascii="Times New Roman" w:hAnsi="Times New Roman"/>
          <w:sz w:val="20"/>
        </w:rPr>
      </w:pPr>
      <w:r>
        <w:rPr>
          <w:rFonts w:ascii="Times New Roman" w:hAnsi="Times New Roman"/>
          <w:sz w:val="20"/>
        </w:rPr>
        <w:t xml:space="preserve">(c) No provision of this Indenture shall be construed to relieve each Trustee from liability for its own actions or failure to act in accordance with Subsection Section 6.02(b), except that: </w:t>
      </w:r>
    </w:p>
    <w:p>
      <w:pPr>
        <w:pStyle w:val="TextBody"/>
        <w:bidi w:val="0"/>
        <w:spacing w:before="120" w:after="0"/>
        <w:jc w:val="left"/>
        <w:rPr>
          <w:rFonts w:ascii="Times New Roman" w:hAnsi="Times New Roman"/>
          <w:sz w:val="20"/>
        </w:rPr>
      </w:pPr>
      <w:r>
        <w:rPr>
          <w:rFonts w:ascii="Times New Roman" w:hAnsi="Times New Roman"/>
          <w:sz w:val="20"/>
        </w:rPr>
        <w:t xml:space="preserve">(i) prior to the occurrence of an Event of Default and after the curing or waiving of all such Events of Default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the duties and obligations of each Trustee with respect to the Securities of any series shall be determined solely by the express provisions of this Indenture, and the Trustees shall not be liable except for the performance of such duties and obligations as are specifically set forth in this Indenture, and no implied covenants or obligations shall be read into this Indenture against the Trustees; and </w:t>
      </w:r>
    </w:p>
    <w:p>
      <w:pPr>
        <w:pStyle w:val="TextBody"/>
        <w:bidi w:val="0"/>
        <w:spacing w:before="120" w:after="0"/>
        <w:jc w:val="left"/>
        <w:rPr>
          <w:rFonts w:ascii="Times New Roman" w:hAnsi="Times New Roman"/>
          <w:sz w:val="20"/>
        </w:rPr>
      </w:pPr>
      <w:r>
        <w:rPr>
          <w:rFonts w:ascii="Times New Roman" w:hAnsi="Times New Roman"/>
          <w:sz w:val="20"/>
        </w:rPr>
        <w:t xml:space="preserve">(B) in the absence of bad faith on the part of either Trustee, such Trustee may conclusively rely, as to the truth of the statements and the correctness of the opinions expressed therein, upon any certificates or opinions furnished to the Trustees and conforming to the requirements of this Indenture and Trust Indenture Legislation; but in the case of any such certificates or opinions that by any provision hereof are specifically required to be furnished to the Trustees, the Trustees shall be under a duty to examine the same to determine whether or not they conform to the requirements of this Indenture; provided, however, the Canadian Trustee shall not be required to determine whether the certificates or opinions presented to it conform to the TIA and the U.S. Trustee shall not be required to determine whether the certificates or opinions presented to it conform to Canadian Trust Indenture Legislation. </w:t>
      </w:r>
    </w:p>
    <w:p>
      <w:pPr>
        <w:pStyle w:val="TextBody"/>
        <w:bidi w:val="0"/>
        <w:spacing w:before="120" w:after="0"/>
        <w:jc w:val="left"/>
        <w:rPr>
          <w:rFonts w:ascii="Times New Roman" w:hAnsi="Times New Roman"/>
          <w:sz w:val="20"/>
        </w:rPr>
      </w:pPr>
      <w:r>
        <w:rPr>
          <w:rFonts w:ascii="Times New Roman" w:hAnsi="Times New Roman"/>
          <w:sz w:val="20"/>
        </w:rPr>
        <w:t xml:space="preserve">(ii) the Trustees shall not be liable for any error of judgment made in good faith by a Responsible Officer of such Trustee, unless it shall be proved that the Trustee failed to act in accordance with Subsection Section 6.02(b) in ascertaining the pertinent facts;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Trustees shall not be liable with respect to any action taken or omitted to be taken by them in good faith in accordance with the direction of the Holders of not less than a majority in principal amount of the Securities of any series at the time Outstanding relating to the time, method and place of conducting any proceeding for any remedy available to the Trustees, or exercising any trust or power conferred upon the Trustees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(iv) none of the provisions contained in this Indenture shall require either Trustee to expend or risk their own funds or otherwise incur personal or any financial liability in the performance of any of their duties or in the exercise of any of their rights or powers, if there is reasonable ground for believing that the repayment of such funds or liability is not reasonably assured to them under the terms of this Indenture or adequate indemnity against such risk is not reasonably assured to them; and </w:t>
      </w:r>
    </w:p>
    <w:p>
      <w:pPr>
        <w:pStyle w:val="TextBody"/>
        <w:bidi w:val="0"/>
        <w:spacing w:before="120" w:after="0"/>
        <w:jc w:val="left"/>
        <w:rPr>
          <w:rFonts w:ascii="Times New Roman" w:hAnsi="Times New Roman"/>
          <w:sz w:val="20"/>
        </w:rPr>
      </w:pPr>
      <w:r>
        <w:rPr>
          <w:rFonts w:ascii="Times New Roman" w:hAnsi="Times New Roman"/>
          <w:sz w:val="20"/>
        </w:rPr>
        <w:t xml:space="preserve">(v) whether or not therein expressly so provided, except to the extent expressly provided herein to the contrary, every provision of this Indenture relating to the 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effecting the liability or affording protection to the Trustees shall be subject to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the provisions of this Section 6.02 or any provision in this Indenture or in the Securities, the Trustees will not be charged with knowledge of the existence of any Event of Default or any other fact that would prohibit the making of any payment of monies to or by the Trustees, or the taking of any other action by the Trustees, unless and until the Trustees have received written notice thereof from the Company or any Holder.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6.03 Certain Rights of Trustees.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TIA Sections 315(a) through 315(d): </w:t>
      </w:r>
    </w:p>
    <w:p>
      <w:pPr>
        <w:pStyle w:val="TextBody"/>
        <w:bidi w:val="0"/>
        <w:spacing w:before="120" w:after="0"/>
        <w:jc w:val="left"/>
        <w:rPr>
          <w:rFonts w:ascii="Times New Roman" w:hAnsi="Times New Roman"/>
          <w:sz w:val="20"/>
        </w:rPr>
      </w:pPr>
      <w:r>
        <w:rPr>
          <w:rFonts w:ascii="Times New Roman" w:hAnsi="Times New Roman"/>
          <w:sz w:val="20"/>
        </w:rPr>
        <w:t xml:space="preserve">(i) the Trustees may rely and shall be protected in acting or refraining from acting upon any resolution, certificate, statement, instrument, opinion, report, notice, request, direction, consent, order, bond, debenture, note, other evidence of indebtedness or other paper or document believed by them to be genuine and to have been signed or presented by the proper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(ii) any request or direction of the Company mentioned herein shall be sufficiently evidenced by a Company Request or Company Order and any resolution of the Board of Directors may be sufficiently evidenced by a Board Resolution; </w:t>
      </w:r>
    </w:p>
    <w:p>
      <w:pPr>
        <w:pStyle w:val="TextBody"/>
        <w:bidi w:val="0"/>
        <w:spacing w:before="120" w:after="0"/>
        <w:jc w:val="left"/>
        <w:rPr>
          <w:rFonts w:ascii="Times New Roman" w:hAnsi="Times New Roman"/>
          <w:sz w:val="20"/>
        </w:rPr>
      </w:pPr>
      <w:r>
        <w:rPr>
          <w:rFonts w:ascii="Times New Roman" w:hAnsi="Times New Roman"/>
          <w:sz w:val="20"/>
        </w:rPr>
        <w:t xml:space="preserve">(iii) whenever in the administration of this Indenture the Trustees shall deem it desirable that a matter be proved or established prior to taking, suffering or omitting any action hereunder, each Trustee (unless other evidence be herein specifically prescribed) may, in the absence of bad faith on its part, rely upon an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(iv) the Trustees may consult with counsel and the written advice of such counsel or any opinion of Counsel shall be full and complete authorization and protection in respect of any action taken, suffered or omitted by them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(v) the Trustees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Trustees reasonable security or indemnity against the costs, expenses and liabilities which might be incurred by them in compliance with such request or direction; </w:t>
      </w:r>
    </w:p>
    <w:p>
      <w:pPr>
        <w:pStyle w:val="TextBody"/>
        <w:bidi w:val="0"/>
        <w:spacing w:before="120" w:after="0"/>
        <w:jc w:val="left"/>
        <w:rPr>
          <w:rFonts w:ascii="Times New Roman" w:hAnsi="Times New Roman"/>
          <w:sz w:val="20"/>
        </w:rPr>
      </w:pPr>
      <w:r>
        <w:rPr>
          <w:rFonts w:ascii="Times New Roman" w:hAnsi="Times New Roman"/>
          <w:sz w:val="20"/>
        </w:rPr>
        <w:t xml:space="preserve">(vi) the Trustees shall not be bound to make any investigation into the facts or matters stated in any resolution, certificate, statement, instrument, opinion, report, notice, request, direction, consent, order, bond, debenture, note, other evidence of indebtedness or other paper or document, but the Trustees, in their discretion, may make such further inquiry or investigation into such facts or matters as they may see fit, and, if the Trustees shall determine to make such further inquiry or investigation, they shall be entitled to examine the books, records and premises of the Company, personally or by agent or attorney;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in an Event of Default, the Trustees’ powers shall not be infringed upon so long as they act in accordance with Subsection 6.02(b); </w:t>
      </w:r>
    </w:p>
    <w:p>
      <w:pPr>
        <w:pStyle w:val="TextBody"/>
        <w:bidi w:val="0"/>
        <w:spacing w:before="120" w:after="0"/>
        <w:jc w:val="left"/>
        <w:rPr>
          <w:rFonts w:ascii="Times New Roman" w:hAnsi="Times New Roman"/>
          <w:sz w:val="20"/>
        </w:rPr>
      </w:pPr>
      <w:r>
        <w:rPr>
          <w:rFonts w:ascii="Times New Roman" w:hAnsi="Times New Roman"/>
          <w:sz w:val="20"/>
        </w:rPr>
        <w:t xml:space="preserve">(viii) the Trustees may execute any of the trusts or powers hereunder or perform any duties hereunder either directly or by or through agents or attorneys and the Trustees shall not be responsible for any misconduct or negligence on the part of any agent or attorney appointed with due care by them hereunder; and </w:t>
      </w:r>
    </w:p>
    <w:p>
      <w:pPr>
        <w:pStyle w:val="TextBody"/>
        <w:bidi w:val="0"/>
        <w:spacing w:before="120" w:after="0"/>
        <w:jc w:val="left"/>
        <w:rPr>
          <w:rFonts w:ascii="Times New Roman" w:hAnsi="Times New Roman"/>
          <w:sz w:val="20"/>
        </w:rPr>
      </w:pPr>
      <w:r>
        <w:rPr>
          <w:rFonts w:ascii="Times New Roman" w:hAnsi="Times New Roman"/>
          <w:sz w:val="20"/>
        </w:rPr>
        <w:t xml:space="preserve">(ix) the Trustees shall not be liable for any action taken, suffered or omitted by them in good faith and believed by them to be authorized or within the discretion or rights or powers conferred upon them by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6.04 Trustees Not Responsible for Recitals or Issuance of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recitals contained herein and in the Securities, except for a Trustee’s certificates of authentication, and in any coupons shall be taken as the statements of the Company, and neither Trustee nor any Authenticating Agent assumes any responsibility for their correctness. The Trustees make no representations as to the validity or sufficiency of this Indenture or of the Securities or coupons, except that the Trustees represent that they are duly authorized to execute and deliver this Indenture, authenticate the Securities and perform their obligations hereunder and that the statements made by the U.S. Trustee in a Statement of Eligibility on Form T-1 supplied to the Company are true and accurate, subject to the qualifications set forth therein. Neither Trustee nor any Authenticating Agent shall be accountable for the use or application by the Company of Securities or the proceeds thereof. Nothing herein contained will impose on either Trustee any obligation to see to, or to require evidence of, the registration or filing (or renewal thereof) of this Indenture or any supplemental indenture. The Trustees shall not be bound to give notice to any person of the execution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rPr>
        <w:t>May Hold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Trustees, any Authenticating Agent, any Paying Agent, any Security Registrar or any other agent of the Company or of the Trustees, in their individual or any other capacity, may become the owner or pledgee of Securities and coupons and, subject to TIA Sections 310(b) and 311, may otherwise deal with the Company, including, without limitation, as a creditor of the Company, with the same rights they would have if they were not Trustees, Authenticating Agent, Paying Agent, Security Registrar or such other agent. A Trustee that has resigned or was removed shall remain subject to TIA Section 311(a) to the extent provided therein.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6.06 Money Held in Trust. </w:t>
      </w:r>
    </w:p>
    <w:p>
      <w:pPr>
        <w:pStyle w:val="TextBody"/>
        <w:bidi w:val="0"/>
        <w:spacing w:before="120" w:after="0"/>
        <w:jc w:val="left"/>
        <w:rPr>
          <w:rFonts w:ascii="Times New Roman" w:hAnsi="Times New Roman"/>
          <w:sz w:val="20"/>
        </w:rPr>
      </w:pPr>
      <w:r>
        <w:rPr>
          <w:rFonts w:ascii="Times New Roman" w:hAnsi="Times New Roman"/>
          <w:sz w:val="20"/>
        </w:rPr>
        <w:t xml:space="preserve">Money held by the Trustees in trust hereunder need not be segregated from other funds except to the extent required by law. The Trustees shall be under no liability for interest on any money received by them hereunder except as otherwise agreed with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6.07 Compensation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agrees: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pay to the Trustees from time to time reasonable compensation for all services rendered by them hereunder (which compensation shall not be limited by any provision of law in regard to the compensation of a trustee of an express trust); any invoices which remain outstanding for 30 days following the date of invoice shall accrue interest at the then current rate of interest charged by the Canadian Trustee to it corporate clients; </w:t>
      </w:r>
    </w:p>
    <w:p>
      <w:pPr>
        <w:pStyle w:val="TextBody"/>
        <w:bidi w:val="0"/>
        <w:spacing w:before="120" w:after="0"/>
        <w:jc w:val="left"/>
        <w:rPr>
          <w:rFonts w:ascii="Times New Roman" w:hAnsi="Times New Roman"/>
          <w:sz w:val="20"/>
        </w:rPr>
      </w:pPr>
      <w:r>
        <w:rPr>
          <w:rFonts w:ascii="Times New Roman" w:hAnsi="Times New Roman"/>
          <w:sz w:val="20"/>
        </w:rPr>
        <w:t xml:space="preserve">(ii) except as otherwise expressly provided herein, to reimburse the Trustees upon their request for all reasonable expenses, disbursements and advances incurred or made by the Trustees in accordance with any provision of this Indenture (including the reasonable compensation and the expenses and disbursements of their agents and counsel), except any such expense, disbursement or advance as may be attributable to their negligence or bad faith; and </w:t>
      </w:r>
    </w:p>
    <w:p>
      <w:pPr>
        <w:pStyle w:val="TextBody"/>
        <w:bidi w:val="0"/>
        <w:spacing w:before="120" w:after="0"/>
        <w:jc w:val="left"/>
        <w:rPr>
          <w:rFonts w:ascii="Times New Roman" w:hAnsi="Times New Roman"/>
          <w:sz w:val="20"/>
        </w:rPr>
      </w:pPr>
      <w:r>
        <w:rPr>
          <w:rFonts w:ascii="Times New Roman" w:hAnsi="Times New Roman"/>
          <w:sz w:val="20"/>
        </w:rPr>
        <w:t xml:space="preserve">(iii) to indemnify the Trustees for, and to hold them and their directors, officers, agents, representatives, successors, assigns and employees harmless against, any loss, liability or expense incurred without negligence or bad faith on their part, arising out of or in connection with the acceptance or administration of the trust or trusts hereunder, including reasonable attorneys’ fees and other reasonable costs and expenses of defending themselves against any claim or liability in connection with the exercise or performance of any of their powers or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under this Section to compensate the Trustees, to pay or reimburse the Trustees for expenses, disbursements and advances and to indemnify and hold harmless the Trustees shall constitute additional indebtedness hereunder and shall survive the satisfaction and discharge of this Indenture and the resignation or removal of the Trustee. As security for the performance of such obligations of the Company, the Trustees shall have a claim prior to the Securities upon all property and funds held or collected by the Trustees as such, except funds held in trust for the payment of principal of (or premium, if any) or interest, if any, on particular Securities or any coupons.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Trustees incur expenses or render services in connection with an Event of Default specified in Section 5.01(7) or (8), the expenses (including reasonable charges and expense of its counsel) of and the compensation for such services are intended to constitute expenses of administration under any applicable U.S. or Canadian federal, state or provincial bankruptcy, insolvency or other similar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termination of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6.08 Corporate Trustees Required; Eligibility. </w:t>
      </w:r>
    </w:p>
    <w:p>
      <w:pPr>
        <w:pStyle w:val="TextBody"/>
        <w:bidi w:val="0"/>
        <w:spacing w:before="120" w:after="0"/>
        <w:jc w:val="left"/>
        <w:rPr>
          <w:rFonts w:ascii="Times New Roman" w:hAnsi="Times New Roman"/>
          <w:sz w:val="20"/>
        </w:rPr>
      </w:pPr>
      <w:r>
        <w:rPr>
          <w:rFonts w:ascii="Times New Roman" w:hAnsi="Times New Roman"/>
          <w:sz w:val="20"/>
        </w:rPr>
        <w:t xml:space="preserve">(i) There shall be at all times a U.S. Trustee hereunder which shall be eligible to act as Trustee under TIA Section 310(a)(1) and, together with its immediate parent, shall have a combined capital and surplus of at least $50,000,000. If U.S. Trustee publishes reports of condition at least annually, pursuant to law or to the requirements of U.S. federal, state, territorial or District of Columbia supervising or examining authority, then for the purposes of this Section, the combined capital and surplus of U.S. Trustee shall be deemed to be its combined capital and surplus as set forth in its most recent report of condition so published. If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U.S. Trustee shall cease to be eligible in accordance with the provisions of this Section, it shall resign immediately in the manner and with the effect hereinafter specified in this Article. </w:t>
      </w:r>
    </w:p>
    <w:p>
      <w:pPr>
        <w:pStyle w:val="TextBody"/>
        <w:bidi w:val="0"/>
        <w:spacing w:before="120" w:after="0"/>
        <w:jc w:val="left"/>
        <w:rPr>
          <w:rFonts w:ascii="Times New Roman" w:hAnsi="Times New Roman"/>
          <w:sz w:val="20"/>
        </w:rPr>
      </w:pPr>
      <w:r>
        <w:rPr>
          <w:rFonts w:ascii="Times New Roman" w:hAnsi="Times New Roman"/>
          <w:sz w:val="20"/>
        </w:rPr>
        <w:t xml:space="preserve">(ii) For so long as required by Trust Indenture Legislation, there shall be a Canadian Trustee under this Indenture. The Canadian Trustee shall at all times be a resident or authorized to do business in the Province of [Ontario] and any other province in Canada where Holders may be resident from time to time. The Canadian Trustee represents and warrants that no material conflict of interest exists in the Canadian Trustee’s role as a fiduciary hereunder and agrees that in the event of a material conflict of interest arising hereafter it will, within 30 days after ascertaining that it has such material conflict of interest, either eliminate the same or resign its trust hereunder. If any such material conflict of interests exists or hereafter shall exist, the validity and enforceability of this Indenture shall not be affected in any manner whatsoever by reason thereof. </w:t>
      </w:r>
    </w:p>
    <w:p>
      <w:pPr>
        <w:pStyle w:val="TextBody"/>
        <w:bidi w:val="0"/>
        <w:spacing w:before="120" w:after="0"/>
        <w:jc w:val="left"/>
        <w:rPr>
          <w:rFonts w:ascii="Times New Roman" w:hAnsi="Times New Roman"/>
          <w:sz w:val="20"/>
        </w:rPr>
      </w:pPr>
      <w:r>
        <w:rPr>
          <w:rFonts w:ascii="Times New Roman" w:hAnsi="Times New Roman"/>
          <w:sz w:val="20"/>
        </w:rPr>
        <w:t xml:space="preserve">(iii)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(iv) The Trustees will not be required to give any bond or security in respect of the execution of the trusts and powers set out in this Indenture or otherwise in respect of the premises. </w:t>
      </w:r>
    </w:p>
    <w:p>
      <w:pPr>
        <w:pStyle w:val="TextBody"/>
        <w:bidi w:val="0"/>
        <w:spacing w:before="120" w:after="0"/>
        <w:jc w:val="left"/>
        <w:rPr>
          <w:rFonts w:ascii="Times New Roman" w:hAnsi="Times New Roman"/>
          <w:sz w:val="20"/>
        </w:rPr>
      </w:pPr>
      <w:r>
        <w:rPr>
          <w:rFonts w:ascii="Times New Roman" w:hAnsi="Times New Roman"/>
          <w:sz w:val="20"/>
        </w:rPr>
        <w:t xml:space="preserve">(v) Neither Trustee nor any Affiliate of either Trustee shall be appointed a receiver or receiver and manager or liquidator of all or any part of the assets or undertaking of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6.09 Resignation and Removal; Appointment of Successor. </w:t>
      </w:r>
    </w:p>
    <w:p>
      <w:pPr>
        <w:pStyle w:val="TextBody"/>
        <w:bidi w:val="0"/>
        <w:spacing w:before="120" w:after="0"/>
        <w:jc w:val="left"/>
        <w:rPr>
          <w:rFonts w:ascii="Times New Roman" w:hAnsi="Times New Roman"/>
          <w:sz w:val="20"/>
        </w:rPr>
      </w:pPr>
      <w:r>
        <w:rPr>
          <w:rFonts w:ascii="Times New Roman" w:hAnsi="Times New Roman"/>
          <w:sz w:val="20"/>
        </w:rPr>
        <w:t xml:space="preserve">6.09.1 No resignation or removal of either Trustee and no appointment of a successor Trustee pursuant to this Article shall become effective until the acceptance of appointment by the successor Trustee in accordance with the applicable requirements of Section 6.10. </w:t>
      </w:r>
    </w:p>
    <w:p>
      <w:pPr>
        <w:pStyle w:val="TextBody"/>
        <w:bidi w:val="0"/>
        <w:spacing w:before="120" w:after="0"/>
        <w:jc w:val="left"/>
        <w:rPr>
          <w:rFonts w:ascii="Times New Roman" w:hAnsi="Times New Roman"/>
          <w:sz w:val="20"/>
        </w:rPr>
      </w:pPr>
      <w:r>
        <w:rPr>
          <w:rFonts w:ascii="Times New Roman" w:hAnsi="Times New Roman"/>
          <w:sz w:val="20"/>
        </w:rPr>
        <w:t xml:space="preserve">6.09.2 Either Trustee may resign at any time with respect to the Securities of one or more series by giving written notice thereof to the Company. If the instrument of acceptance by a successor Trustee required by Section 6.10 shall not have been delivered to such Trustee within 30 days after the giving of such notice of resignation, the resigning Trustee may petition any court of competent jurisdiction for the appointment of a successor Trustee with respect to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6.09.3 Either Trustee may be removed at any time with respect to the Securities of any series by Act of the Holders of not less than a majority in principal amount of the Outstanding Securities of such series, delivered to such Trustee and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6.09.4 If at any time: </w:t>
      </w:r>
    </w:p>
    <w:p>
      <w:pPr>
        <w:pStyle w:val="TextBody"/>
        <w:bidi w:val="0"/>
        <w:spacing w:before="120" w:after="0"/>
        <w:jc w:val="left"/>
        <w:rPr>
          <w:rFonts w:ascii="Times New Roman" w:hAnsi="Times New Roman"/>
          <w:sz w:val="20"/>
        </w:rPr>
      </w:pPr>
      <w:r>
        <w:rPr>
          <w:rFonts w:ascii="Times New Roman" w:hAnsi="Times New Roman"/>
          <w:sz w:val="20"/>
        </w:rPr>
        <w:t xml:space="preserve">(a) either Trustee shall acquire any conflicting interest as defined in TIA Section 310(b) and fail to comply with the provisions of TIA Section 310(b)(i),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either Trustee shall fail to comply with the provisions of TIA Section 310(b) after written request therefor by the Company or by any Holder who has been a bona fide Holder of a Security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(c) either Trustee shall cease to be eligible under Section 6.08 and shall fail to resign after written request therefor by the Company or by any Holder who has been a bona fide Holder of a Security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(d) either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(i) the Company, by a Board Resolution, may remove such Trustee with respect to all Securities, or (ii) subject to TIA Section 315(e), any Holder who has been a bona fide Holder of a Security of such series for at least six months may, on behalf of himself and all others similarly situated, petition any court of competent jurisdiction for the removal of such Trustee with respect to all Securities of such series and the appointment of a successor Trustee or Trustees. </w:t>
      </w:r>
    </w:p>
    <w:p>
      <w:pPr>
        <w:pStyle w:val="TextBody"/>
        <w:bidi w:val="0"/>
        <w:spacing w:before="120" w:after="0"/>
        <w:jc w:val="left"/>
        <w:rPr>
          <w:rFonts w:ascii="Times New Roman" w:hAnsi="Times New Roman"/>
          <w:sz w:val="20"/>
        </w:rPr>
      </w:pPr>
      <w:r>
        <w:rPr>
          <w:rFonts w:ascii="Times New Roman" w:hAnsi="Times New Roman"/>
          <w:sz w:val="20"/>
        </w:rPr>
        <w:t xml:space="preserve">6.09.5 If either Trustee shall resign, be removed or become incapable of acting, or if a vacancy shall occur in the office of the U.S. Trustee or the Canadian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appoint a successor Trustee to the Canadian Trustee if the Canadian Trustee resigns or is removed and a Canadian Trustee under this Indenture is no longer required under Trust Indenture Legislation.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6.09.6 The Company shall give notice of each resignation and each removal of a Trustee with respect to the Securities of any series and each appointment of a successor Trustee with respect to the Securities of any series to the Holders of Securities of such series in the manner provided for in Section 1.06. Each notice shall include the name of the successor Trustee with respect to the Securities of such series and the address of its Corporate Trust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6.09.7 If a Canadian Trustee under this Indenture is no longer required by Trust Indenture Legislation, then the Company by a Board Resolution may remove the Canadian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6.10 Acceptance of Appointment by Successor. </w:t>
      </w:r>
    </w:p>
    <w:p>
      <w:pPr>
        <w:pStyle w:val="TextBody"/>
        <w:bidi w:val="0"/>
        <w:spacing w:before="120" w:after="0"/>
        <w:jc w:val="left"/>
        <w:rPr>
          <w:rFonts w:ascii="Times New Roman" w:hAnsi="Times New Roman"/>
          <w:sz w:val="20"/>
        </w:rPr>
      </w:pPr>
      <w:r>
        <w:rPr>
          <w:rFonts w:ascii="Times New Roman" w:hAnsi="Times New Roman"/>
          <w:sz w:val="20"/>
        </w:rPr>
        <w:t xml:space="preserve">6.10.1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6.10.2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6.10.3 Upon request of any such successor Trustee, the Company shall execute any and all instruments for more fully and certainly vesting in and confirming to such successor Trustee all rights, powers and trusts referred to in paragraph (a) or (b) of this Section,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6.10.4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b/>
          <w:sz w:val="20"/>
        </w:rPr>
        <w:t>Merger, Conversion, Consolidation or Successioon to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corporation into which either Trustee or its corporate trust business may be merged or converted or with which it may be consolidated, or any corporation resulting from any merger, conversion or consolidation to which either Trustee shall be a party, or any corporation succeeding to all or substantially all the corporate trust business of either Trustee, shall be the successor of such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a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of the Securities shall not have been authenticated by such predecessor Trustee, any successor Trustee may authenticate such Securities either in the name of any predecessor hereunder or in the name of the successor Trustee. In all such cases such certificates shall have the full force and effect which this Indenture provides for the certificate of authentication of such Trustee;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adopt the certificate of authentication of any predecessor Trustee or to authenticate Securities in the name of any predecessor Trustee shall apply only to its successor or successors by merger, conversion or consolidation.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6.12 Appointment of Authenticating Agent. </w:t>
      </w:r>
    </w:p>
    <w:p>
      <w:pPr>
        <w:pStyle w:val="TextBody"/>
        <w:bidi w:val="0"/>
        <w:spacing w:before="120" w:after="0"/>
        <w:jc w:val="left"/>
        <w:rPr>
          <w:rFonts w:ascii="Times New Roman" w:hAnsi="Times New Roman"/>
          <w:sz w:val="20"/>
        </w:rPr>
      </w:pPr>
      <w:r>
        <w:rPr>
          <w:rFonts w:ascii="Times New Roman" w:hAnsi="Times New Roman"/>
          <w:sz w:val="20"/>
        </w:rPr>
        <w:t xml:space="preserve">At any time when any of the Securities remain outstanding, the Trustees may appoint an Authenticating Agent or Agents, with respect to one or more series of Securities which shall be authorized to act on behalf of the Trustees to authenticate Securities of such series and the Trustees shall give written notice of such appointment to all Holders of Securities of the series with respect to which such Authenticating Agent will serve, in the manner provided for in Section 1.06. Securities so authenticated shall be entitled to the benefits of this Indenture and shall be valid and obligatory for all purposes as if authenticated by the Appropriate Trustee hereunder. Any such appointment shall be evidenced by an instrument in writing signed by a Responsible Officer of the Trustees, and a copy of such instrument shall be promptly furnished to the Company. In the case of the Canadian Trustee, the instrument appointing an Authenticating Agent shall be signed on behalf of the Trustee by the board of directors or any two of Chairman of the Board, President, Chief Executive Officer, Chief Financial Officer, Treasurer, Secretary, Executive Vice Presidents, Senior Vice Presidents, Regional Vice Presidents or Vice Presidents, in accordance with their by-laws. Wherever reference is made in this Indenture to the authentication and delivery of Securities by the Trustees or either Trustee’s certificate of authentication, such reference shall be deemed to include authentication and delivery on behalf of the Trustees by an Authenticating Agent and a certificate of authentication executed on behalf of the Trustees by an Authenticating Agent. Each Authenticating Agent shall be acceptable to the Company and shall at all times be a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organized and doing business under the laws of the United States of America, any state thereof or the District of Columbia or the laws of Canada or any province thereof, authorized under such laws to act as Authenticating Agent, having a combined capital and surplus of not less than $25,000,000 and subject to supervision or examination by U.S. federal or state or Canadian federal or provincial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it shall resign immediately in the manner and with the effect specified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Trustees or the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An Authenticating Agent may resign at any time by giving written notice thereof to the Trustees and to the Company. The Trustees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Trustees may appoint a successor Authenticating Agent which shall be acceptable to the Company and shall give written notice of such appointment to all Holders of Securities of the series with respect to which such Authenticating Agent will serve, in the manner provided for in Section 1.06.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Trustees agree to pay to each Authenticating Agent from time to time reasonable compensation for its services under this Section, and the Trustees shall be entitled to be reimbursed for such payments, subject to the provisions of Section 6.07.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either Trustee’s certificate of authentication, an alternate certificate of authentication in the following form: </w:t>
      </w:r>
    </w:p>
    <w:p>
      <w:pPr>
        <w:pStyle w:val="TextBody"/>
        <w:bidi w:val="0"/>
        <w:spacing w:before="240" w:after="0"/>
        <w:jc w:val="center"/>
        <w:rPr>
          <w:rFonts w:ascii="Times New Roman" w:hAnsi="Times New Roman"/>
          <w:sz w:val="20"/>
        </w:rPr>
      </w:pPr>
      <w:r>
        <w:rPr>
          <w:rFonts w:ascii="Times New Roman" w:hAnsi="Times New Roman"/>
          <w:sz w:val="20"/>
        </w:rPr>
        <w:t xml:space="preserve">(Certificate of Authentication may be executed by either Trustee)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 as U.S. Trustee, certifies that this is one of the Securities of the series designated therein referred to in the within-mentioned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5"/>
        <w:gridCol w:w="60"/>
        <w:gridCol w:w="3657"/>
      </w:tblGrid>
      <w:tr>
        <w:trPr/>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                         </w:t>
            </w:r>
            <w:r>
              <w:rPr/>
              <w:t>,</w:t>
            </w:r>
          </w:p>
        </w:tc>
      </w:tr>
      <w:tr>
        <w:trPr/>
        <w:tc>
          <w:tcPr>
            <w:tcW w:w="4082" w:type="dxa"/>
            <w:gridSpan w:val="3"/>
            <w:tcBorders/>
          </w:tcPr>
          <w:p>
            <w:pPr>
              <w:pStyle w:val="TableContents"/>
              <w:bidi w:val="0"/>
              <w:spacing w:before="0" w:after="283"/>
              <w:jc w:val="left"/>
              <w:rPr/>
            </w:pPr>
            <w:r>
              <w:rPr/>
              <w:t>as U.S. Trustee</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7" w:type="dxa"/>
            <w:tcBorders/>
          </w:tcPr>
          <w:p>
            <w:pPr>
              <w:pStyle w:val="TableContents"/>
              <w:bidi w:val="0"/>
              <w:spacing w:before="0" w:after="283"/>
              <w:jc w:val="left"/>
              <w:rPr>
                <w:u w:val="single"/>
              </w:rPr>
            </w:pPr>
            <w:r>
              <w:rPr>
                <w:u w:val="single"/>
              </w:rPr>
              <w:t>                       </w:t>
            </w:r>
          </w:p>
        </w:tc>
      </w:tr>
      <w:tr>
        <w:trPr/>
        <w:tc>
          <w:tcPr>
            <w:tcW w:w="4082" w:type="dxa"/>
            <w:gridSpan w:val="3"/>
            <w:tcBorders/>
          </w:tcPr>
          <w:p>
            <w:pPr>
              <w:pStyle w:val="TableContents"/>
              <w:bidi w:val="0"/>
              <w:spacing w:before="0" w:after="283"/>
              <w:jc w:val="left"/>
              <w:rPr/>
            </w:pPr>
            <w:r>
              <w:rPr/>
              <w:t>As Authenticating Agent</w:t>
            </w:r>
          </w:p>
        </w:tc>
      </w:tr>
      <w:tr>
        <w:trPr>
          <w:trHeight w:val="240" w:hRule="atLeast"/>
        </w:trPr>
        <w:tc>
          <w:tcPr>
            <w:tcW w:w="365" w:type="dxa"/>
            <w:tcBorders/>
            <w:vAlign w:val="center"/>
          </w:tcPr>
          <w:p>
            <w:pPr>
              <w:pStyle w:val="TableContents"/>
              <w:bidi w:val="0"/>
              <w:spacing w:before="0" w:after="283"/>
              <w:jc w:val="left"/>
              <w:rPr>
                <w:sz w:val="4"/>
                <w:szCs w:val="4"/>
              </w:rPr>
            </w:pPr>
            <w:r>
              <w:rPr>
                <w:sz w:val="4"/>
                <w:szCs w:val="4"/>
              </w:rPr>
            </w:r>
          </w:p>
        </w:tc>
        <w:tc>
          <w:tcPr>
            <w:tcW w:w="3717" w:type="dxa"/>
            <w:gridSpan w:val="2"/>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7"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Authorized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[       ], as Canadian Trustee, certifies that this is one of the Securities of the series designated therein referred to 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272"/>
        <w:gridCol w:w="443"/>
        <w:gridCol w:w="1367"/>
      </w:tblGrid>
      <w:tr>
        <w:trPr/>
        <w:tc>
          <w:tcPr>
            <w:tcW w:w="2272"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 </w:t>
            </w:r>
            <w:r>
              <w:rPr>
                <w:u w:val="single"/>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 ], as Canadian Trustee</w:t>
            </w:r>
          </w:p>
        </w:tc>
      </w:tr>
      <w:tr>
        <w:trPr>
          <w:trHeight w:val="240" w:hRule="atLeast"/>
        </w:trPr>
        <w:tc>
          <w:tcPr>
            <w:tcW w:w="2272"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r>
      <w:tr>
        <w:trPr/>
        <w:tc>
          <w:tcPr>
            <w:tcW w:w="2272" w:type="dxa"/>
            <w:tcBorders/>
          </w:tcPr>
          <w:p>
            <w:pPr>
              <w:pStyle w:val="TableContents"/>
              <w:bidi w:val="0"/>
              <w:spacing w:before="0" w:after="283"/>
              <w:jc w:val="left"/>
              <w:rPr/>
            </w:pPr>
            <w:r>
              <w:rPr/>
              <w:t>By:</w:t>
            </w:r>
          </w:p>
        </w:tc>
        <w:tc>
          <w:tcPr>
            <w:tcW w:w="443" w:type="dxa"/>
            <w:tcBorders/>
            <w:vAlign w:val="bottom"/>
          </w:tcPr>
          <w:p>
            <w:pPr>
              <w:pStyle w:val="TableContents"/>
              <w:bidi w:val="0"/>
              <w:spacing w:before="0" w:after="283"/>
              <w:jc w:val="left"/>
              <w:rPr/>
            </w:pPr>
            <w:r>
              <w:rPr/>
              <w:t> </w:t>
            </w:r>
          </w:p>
        </w:tc>
        <w:tc>
          <w:tcPr>
            <w:tcW w:w="1367"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As Authenticating Agent</w:t>
            </w:r>
          </w:p>
        </w:tc>
      </w:tr>
      <w:tr>
        <w:trPr>
          <w:trHeight w:val="240" w:hRule="atLeast"/>
        </w:trPr>
        <w:tc>
          <w:tcPr>
            <w:tcW w:w="2272"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r>
      <w:tr>
        <w:trPr/>
        <w:tc>
          <w:tcPr>
            <w:tcW w:w="2272" w:type="dxa"/>
            <w:tcBorders/>
          </w:tcPr>
          <w:p>
            <w:pPr>
              <w:pStyle w:val="TableContents"/>
              <w:bidi w:val="0"/>
              <w:spacing w:before="0" w:after="283"/>
              <w:jc w:val="left"/>
              <w:rPr/>
            </w:pPr>
            <w:r>
              <w:rPr/>
              <w:t>By:</w:t>
            </w:r>
          </w:p>
        </w:tc>
        <w:tc>
          <w:tcPr>
            <w:tcW w:w="443" w:type="dxa"/>
            <w:tcBorders/>
            <w:vAlign w:val="bottom"/>
          </w:tcPr>
          <w:p>
            <w:pPr>
              <w:pStyle w:val="TableContents"/>
              <w:bidi w:val="0"/>
              <w:spacing w:before="0" w:after="283"/>
              <w:jc w:val="left"/>
              <w:rPr/>
            </w:pPr>
            <w:r>
              <w:rPr/>
              <w:t> </w:t>
            </w:r>
          </w:p>
        </w:tc>
        <w:tc>
          <w:tcPr>
            <w:tcW w:w="1367"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Authorized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Section 6.13 Joint Trustees. </w:t>
      </w:r>
    </w:p>
    <w:p>
      <w:pPr>
        <w:pStyle w:val="TextBody"/>
        <w:bidi w:val="0"/>
        <w:spacing w:before="120" w:after="0"/>
        <w:jc w:val="left"/>
        <w:rPr>
          <w:rFonts w:ascii="Times New Roman" w:hAnsi="Times New Roman"/>
          <w:sz w:val="20"/>
        </w:rPr>
      </w:pPr>
      <w:r>
        <w:rPr>
          <w:rFonts w:ascii="Times New Roman" w:hAnsi="Times New Roman"/>
          <w:sz w:val="20"/>
        </w:rPr>
        <w:t xml:space="preserve">The rights, powers, duties and obligations conferred and imposed upon the Trustees are conferred and imposed upon and shall be exercised and performed by the U.S. Trustee and the Canadian Trustee individually, except to the extent the Trustees are required under Trust Indenture Legislation to perform such acts jointly, and neither Trustee shall be liable or responsible for the acts or omissions of the other Trustee. If the U.S. Trustee and Canadian Trustee are unable to agree jointly to act or refrain from acting, the Appropriate Trustee shall make the decision in accordance with its applicable legislation. Unless the context implies or requires otherwise, any written notice, request, direction, certificate, instruction, opinion or other document (each such document, a “Writing”) delivered pursuant to any provision of this Indenture to any of the U.S. Trustee or the Canadian Trustee shall be deemed for all purposes of this Indenture as delivery of such Writing to the Trustee. Each such trustee in receipt of such writing shall notify such other trustee of its receipt of such Writing within two Business Days of such receipt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failure of such trustee in receipt of such Writing to so notify such other trustee shall not be deemed as a deficiency in the delivery of such Writing to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6.14 Other Rights of Trustees. </w:t>
      </w:r>
    </w:p>
    <w:p>
      <w:pPr>
        <w:pStyle w:val="TextBody"/>
        <w:bidi w:val="0"/>
        <w:spacing w:before="120" w:after="0"/>
        <w:jc w:val="left"/>
        <w:rPr>
          <w:rFonts w:ascii="Times New Roman" w:hAnsi="Times New Roman"/>
          <w:sz w:val="20"/>
        </w:rPr>
      </w:pPr>
      <w:r>
        <w:rPr>
          <w:rFonts w:ascii="Times New Roman" w:hAnsi="Times New Roman"/>
          <w:sz w:val="20"/>
        </w:rPr>
        <w:t xml:space="preserve">Each Trustee shall retain the right not to act and shall not be liable for refusing to act if, due to a lack of information or for any other reason whatsoever, either Trustee, in its sole judgment, determines that such act might cause it to be in non-compliance with any applicable anti-money laundering or anti-terrorist legislation, regulation or guideline. Further, should either Trustee,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sole judgment, determine at any time that its acting under this Indenture has resulted in its being in non-compliance with any applicable anti-money laundering or anti-terrorist legislation, regulation or guideline, then it shall have the right to resign on 10 days written notice to all parties provided (i) that such Trustee’s written notice shall describe the circumstances of such non-compliance; and (ii) that if such circumstances are rectified to such Trustee’s satisfaction within such 10 day period, then such resignation shall not be effective.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Canadian federal and provincial legislation addressing the protection of individuals’ personal information (collectively, “Privacy Laws”) applies to obligations and activities under this Indenture. Despite any other provision of this Indenture, neither party shall take or direct any action that would contravene, or cause the other to contravene, applicable Privacy Laws. The Company, prior to transferring, or causing to be transferred, personal information to the Canadian Trustee, shall obtain and retain required consents of the relevant individuals to the collection, use and disclosure of their personal information, or shall have determined that such consents either have been previously given and can be relied on or are not required under Privacy Laws. The Canadian Trustee shall use commercially reasonable efforts to ensure that its services hereunder comply with Privacy Laws. Specifically, the Trustee agrees to (i) have designated a chief privacy officer; (ii) maintain policies and procedures to protect personal information and to receive and respond to any privacy complaint or inquiry; (iii) use personal information solely for the purposes of providing its services under or ancillary to this Indenture and not to use it for any other purpose except with the consent and direction of the Company; (iv) not sell or otherwise improperly disclose personal information to any third party; and (v) use employee administrative, physical and technological safeguards to reasonably secure and protect personal information against loss, theft or unauthorized access, use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It is expressly acknowledged and agreed that the Canadian Trustee may, in the course of providing services hereunder, collect or receive, use and disclose financial and other personal information about such parties and/or their representatives, as individuals, or about other individuals related to the subject matter hereof, and use such information for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provide the services required under this Indenture and other services that may be requested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(ii) to help the Canadian Trustee manage its servicing relationships with such individuals; </w:t>
      </w:r>
    </w:p>
    <w:p>
      <w:pPr>
        <w:pStyle w:val="TextBody"/>
        <w:bidi w:val="0"/>
        <w:spacing w:before="120" w:after="0"/>
        <w:jc w:val="left"/>
        <w:rPr>
          <w:rFonts w:ascii="Times New Roman" w:hAnsi="Times New Roman"/>
          <w:sz w:val="20"/>
        </w:rPr>
      </w:pPr>
      <w:r>
        <w:rPr>
          <w:rFonts w:ascii="Times New Roman" w:hAnsi="Times New Roman"/>
          <w:sz w:val="20"/>
        </w:rPr>
        <w:t xml:space="preserve">(iii) to meet the Canadian Trustee’s legal and regulatory requirements; and </w:t>
      </w:r>
    </w:p>
    <w:p>
      <w:pPr>
        <w:pStyle w:val="TextBody"/>
        <w:bidi w:val="0"/>
        <w:spacing w:before="120" w:after="0"/>
        <w:jc w:val="left"/>
        <w:rPr>
          <w:rFonts w:ascii="Times New Roman" w:hAnsi="Times New Roman"/>
          <w:sz w:val="20"/>
        </w:rPr>
      </w:pPr>
      <w:r>
        <w:rPr>
          <w:rFonts w:ascii="Times New Roman" w:hAnsi="Times New Roman"/>
          <w:sz w:val="20"/>
        </w:rPr>
        <w:t xml:space="preserve">(iv) if social insurance numbers are collected by the Canadian Trustee, to perform tax reporting and to assist in verification of an individual’s identity for security purposes. </w:t>
      </w:r>
    </w:p>
    <w:p>
      <w:pPr>
        <w:pStyle w:val="TextBody"/>
        <w:bidi w:val="0"/>
        <w:spacing w:before="240" w:after="0"/>
        <w:jc w:val="left"/>
        <w:rPr>
          <w:rFonts w:ascii="Times New Roman" w:hAnsi="Times New Roman"/>
          <w:sz w:val="20"/>
        </w:rPr>
      </w:pPr>
      <w:r>
        <w:rPr>
          <w:rFonts w:ascii="Times New Roman" w:hAnsi="Times New Roman"/>
          <w:sz w:val="20"/>
        </w:rPr>
        <w:t xml:space="preserve">Further, each party agrees that it shall not provide or cause to be provided to the Canadian Trustee any personal information relating to an individual who is not a party to this Indenture unless that party has assured itself that such individual understands and has consented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aforementioned uses and disclosures. Notwithstanding anything to the contrary herein, the Company and the Trustees may, without liability, disclose information about the Holders and Beneficial Owners or Potential Holders or Beneficial Owners of the Securities pursuant to subpoena or other order issued by a court of competent jurisdiction or when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notified, the Trustees shall be entitled to assume that all payments have been made by the Company as required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Trustees may assume for the purposes of this Indenture that any address on the register of the Holders of the Securities is the holder’s actual address and is also determinative as to residency. </w:t>
      </w:r>
    </w:p>
    <w:p>
      <w:pPr>
        <w:pStyle w:val="TextBody"/>
        <w:bidi w:val="0"/>
        <w:spacing w:before="240" w:after="0"/>
        <w:jc w:val="left"/>
        <w:rPr>
          <w:rFonts w:ascii="Times New Roman" w:hAnsi="Times New Roman"/>
          <w:sz w:val="20"/>
        </w:rPr>
      </w:pPr>
      <w:r>
        <w:rPr>
          <w:rFonts w:ascii="Times New Roman" w:hAnsi="Times New Roman"/>
          <w:sz w:val="20"/>
        </w:rPr>
        <w:t xml:space="preserve">The Trustees shall have no obligation to ensure or verify compliance with any applicable laws or regulatory requirements on the issue, exercise or transfer of any Securities provided such issue, exercise or transfer, as the case may be, is effected in accordance with the terms of this Indenture. The Trustees shall be entitled to process all transfers of Securities upon the presumption that such transfers are permissible pursuant to all applicable laws and regulatory requirements. The Trustees shall have no obligation to ensure that legends appearing on the Securities certificates comply with regulatory requirements or securities laws of any applicable jurisdiction.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Indenture, the Trustees shall retain the right not to act and shall not be held liable for refusing to act unless it has received clear and reasonable documentation which complies with the terms of this Indenture; such document must not require the exercise of any discretion or independent judgment. </w:t>
      </w:r>
    </w:p>
    <w:p>
      <w:pPr>
        <w:pStyle w:val="TextBody"/>
        <w:bidi w:val="0"/>
        <w:spacing w:before="240" w:after="0"/>
        <w:jc w:val="left"/>
        <w:rPr>
          <w:rFonts w:ascii="Times New Roman" w:hAnsi="Times New Roman"/>
          <w:sz w:val="20"/>
        </w:rPr>
      </w:pPr>
      <w:r>
        <w:rPr>
          <w:rFonts w:ascii="Times New Roman" w:hAnsi="Times New Roman"/>
          <w:sz w:val="20"/>
        </w:rPr>
        <w:t xml:space="preserve">Each Trustee hereby accepts the trusts in this Indenture declared and provided for and agrees to perform the same upon the terms and conditions herein set forth and to hold all rights, privileges and benefits conferred hereby and by law in trust for the various persons who shall from time to time be holders, subject to all the terms and conditions herein set forth.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HOLDERS’ LISTS AND REPORTS BY TRUSTEE AND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Company to Furnish Trustee Names and Addresses of Holders.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furnish or cause to be furnished to the Trustee (1) not more than 15 days after each Regular Record Date a list, in such form as the Trustee may reasonably require, of the names and addresses of Holders as of such Regular Record Date; provided, however, that the Company shall not be obligated to furnish or cause to be furnished such list at any time that the list shall not differ in any respect from the most recent list furnished to the Trustee by the Company and at such times as the Trustee is acting as Security Registrar for the applicable series of Securities and (2) at such other times as the Trustee may request in writing within 30 days after the receipt by the Company of any such request, a list of similar form and content as of a date not more than 15 days prior to the time such list is furnished.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7.02 Preservation of List of Names and Addresses of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preserve, in as current a form as is reasonably practicable, all information as to the names and addresses of the Holders contained in the most recent list furnished to it as provided in Section 7.01 and as to the names and addresses of Holders received by the Trustee in its capacity as Security Registrar for the applicable series of Securities (if acting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destroy any list furnished to it as provided in Section 7.1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Holders may communicate as provided in TIA Section 312(b) with other Holders with respect to their rights under this Indenture or under 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7.03 Disclosure of Names and Addresses of Holders. </w:t>
      </w:r>
    </w:p>
    <w:p>
      <w:pPr>
        <w:pStyle w:val="TextBody"/>
        <w:bidi w:val="0"/>
        <w:spacing w:before="120" w:after="0"/>
        <w:jc w:val="left"/>
        <w:rPr>
          <w:rFonts w:ascii="Times New Roman" w:hAnsi="Times New Roman"/>
          <w:sz w:val="20"/>
        </w:rPr>
      </w:pPr>
      <w:r>
        <w:rPr>
          <w:rFonts w:ascii="Times New Roman" w:hAnsi="Times New Roman"/>
          <w:sz w:val="20"/>
        </w:rPr>
        <w:t xml:space="preserve">Every Holder of Securities or coupons, by receiving and holding the same, agrees with the Company and the Trustees that none of the Company or the Trustees or any agent of either of them shall be held accountable by reason of the disclosure of any such information as to the names and addresses of the Holders in accordance with TIA Section 312 or Section 93 of the BCBCA, R.S.C. 1985, c. C-44, regardless of the source from which such information was derived, and that the Trustees shall not be held accountable by reason of mailing any material pursuant to a request made under TIA Section 312(b).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7.04 Reports by Trustees. </w:t>
      </w:r>
    </w:p>
    <w:p>
      <w:pPr>
        <w:pStyle w:val="TextBody"/>
        <w:bidi w:val="0"/>
        <w:spacing w:before="120" w:after="0"/>
        <w:jc w:val="left"/>
        <w:rPr>
          <w:rFonts w:ascii="Times New Roman" w:hAnsi="Times New Roman"/>
          <w:sz w:val="20"/>
        </w:rPr>
      </w:pPr>
      <w:r>
        <w:rPr>
          <w:rFonts w:ascii="Times New Roman" w:hAnsi="Times New Roman"/>
          <w:sz w:val="20"/>
        </w:rPr>
        <w:t xml:space="preserve">(i) Within 60 days after May 15 of each year commencing with the first year after the first issuance of Securities pursuant to this Indenture, the U.S. Trustee shall transmit to the Holders of Securities, in the manner and to the extent provided in Section 313(c) of the Trust Indenture Act, a brief report dated as of such reporting date, if required by Section 313(a) of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(ii) The Trustees shall comply with Sections 313(b) and 313(c) of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(iii) A copy of such report shall, at the time of such transmission to the Holders, be filed by the U.S. Trustee with the Company (Attention: Chief Financial Officer), with each securities exchange upon which any of the Securities are listed (if so listed) and also with the Commission. The Company agrees to notify the Trustees when the Securities become listed on any securities exchange.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7.05 Reports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7.05.1 The Company will file with the Trustee, within 20 days after filing with or furnish to the SEC, copies of its annual reports and of the information, documents and other reports (or copies of such portions of any of the foregoing as the SEC may by rules and regulations prescribe) which the Company is required to file or furnish with the SEC pursuant to Section 13 or 15(d) of the U.S. Securities Exchange 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that the Company may not remain subject to the reporting requirements of Section 13 or 15(d) of the U.S. Securities Exchange Act or otherwise report on an annual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quarterly basis on forms provided for such annual and quarterly reporting pursuant to rules and regulations promulgated by the SEC, the Company will continue to provide the Trustee: </w:t>
      </w:r>
    </w:p>
    <w:p>
      <w:pPr>
        <w:pStyle w:val="TextBody"/>
        <w:bidi w:val="0"/>
        <w:spacing w:before="120" w:after="0"/>
        <w:jc w:val="left"/>
        <w:rPr>
          <w:rFonts w:ascii="Times New Roman" w:hAnsi="Times New Roman"/>
          <w:sz w:val="20"/>
        </w:rPr>
      </w:pPr>
      <w:r>
        <w:rPr>
          <w:rFonts w:ascii="Times New Roman" w:hAnsi="Times New Roman"/>
          <w:sz w:val="20"/>
        </w:rPr>
        <w:t xml:space="preserve">(a) within 20 days after the time periods required for the filing or furnishing of such forms by the SEC, annual reports on Form 40-F or Form 20-F, as applicable, or any successor form; and </w:t>
      </w:r>
    </w:p>
    <w:p>
      <w:pPr>
        <w:pStyle w:val="TextBody"/>
        <w:bidi w:val="0"/>
        <w:spacing w:before="120" w:after="0"/>
        <w:jc w:val="left"/>
        <w:rPr>
          <w:rFonts w:ascii="Times New Roman" w:hAnsi="Times New Roman"/>
          <w:sz w:val="20"/>
        </w:rPr>
      </w:pPr>
      <w:r>
        <w:rPr>
          <w:rFonts w:ascii="Times New Roman" w:hAnsi="Times New Roman"/>
          <w:sz w:val="20"/>
        </w:rPr>
        <w:t xml:space="preserve">(b) within 20 days after the time periods required for the filing of such forms by the SEC, reports on Form 6-K (or any successor form), which, regardless of applicable requirements shall, at a minimum, contain such information required to be provided in quarterly reports under the laws of Canada or any province thereof to security holders of a corporation with securities listed on the TSX, whether or not the Company has any of the Securities listed on such exchange. Each of such reports, to the extent permitted by the rules and regulations of the SEC, will be prepared in accordance with Canadian disclosure requirements and generally accepted accounting principles provided, however, that the Company shall not be obligated to file or furnish such reports with the SEC if the SEC does not permit such filings.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only be required to hold the information, documentation and reports and the Company acknowledges that in no case shall the Trustee be considered to have analyzed or interpreted such information, documentation and reports. Such reports, to the extent permitted by the rules and regulations of the Commission, will be prepared in accordance with Canadian disclosure requirements and GAAP;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obligated to file such reports with the Commission; </w:t>
      </w:r>
    </w:p>
    <w:p>
      <w:pPr>
        <w:pStyle w:val="TextBody"/>
        <w:bidi w:val="0"/>
        <w:spacing w:before="120" w:after="0"/>
        <w:jc w:val="left"/>
        <w:rPr>
          <w:rFonts w:ascii="Times New Roman" w:hAnsi="Times New Roman"/>
          <w:sz w:val="20"/>
        </w:rPr>
      </w:pPr>
      <w:r>
        <w:rPr>
          <w:rFonts w:ascii="Times New Roman" w:hAnsi="Times New Roman"/>
          <w:sz w:val="20"/>
        </w:rPr>
        <w:t xml:space="preserve">7.05.2 the Company will transmit to all Holders, in the manner and to the extent provided in Section 313(c) of the Trust Indenture Act, within 30 days after the filing thereof with the Trustees, such summaries of any information, documents and reports required to be filed by the Company pursuant to paragraph (1) of this Section as may be required by rules and regulations prescribed from time to time by the Commission; and </w:t>
      </w:r>
    </w:p>
    <w:p>
      <w:pPr>
        <w:pStyle w:val="TextBody"/>
        <w:bidi w:val="0"/>
        <w:spacing w:before="120" w:after="0"/>
        <w:jc w:val="left"/>
        <w:rPr>
          <w:rFonts w:ascii="Times New Roman" w:hAnsi="Times New Roman"/>
          <w:sz w:val="20"/>
        </w:rPr>
      </w:pPr>
      <w:r>
        <w:rPr>
          <w:rFonts w:ascii="Times New Roman" w:hAnsi="Times New Roman"/>
          <w:sz w:val="20"/>
        </w:rPr>
        <w:t xml:space="preserve">7.05.3 the Company will file with the Exchanges and the Commission the reports created pursuant to Section 7.04 hereof.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to the extent permitted by the hereunder, we will be deemed to have filed such reports referred to above with the Trustee if we have filed or furnished such reports with the Commission via the EDGAR filing system and such reports are publically available.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CONVEYANCE, TRANSFER OR LEASE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Company May Consolidate, etc. only on Certain Terms.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amalgamate or consolidate with or merge into or enter into any statutory arrangement with any other Person, or, directly or indirectly, convey, transfer or lease all or substantially all of its properties and assets to any Person,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Person formed by or continuing from such amalgamation or consolidation or into which the Company is merged or with which it enters into such statutory arrangement or the Person which acquires by operation of law or by conveyance or transfer, or which leases, all or substantially all of the properties and assets of the Company shall be a corporation, partnership or trust organized and validly existing under the laws of Canada or any province or territory thereof, the United States of America or any state thereof or the District of Columbia or, if such amalgamation, merger, consolidation, statutory arrangement or other transaction would not impair the rights of Holders, any other country, and, unless the Company is the continuing corporation, shall expressly assume, by an indenture supplemental hereto, executed and delivered to the Trustees, in form satisfactory to the Trustees, the Company’s obligation for the due and punctual payment of the principal of (and premium, if any), and interest, if any, on all the Securities and the performance and observance of every covenant of this Indenture on the part of the Company to be performed or observed;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giving effect to such transaction, no Default or Event of Default shall have happened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(iii) where the Company is not the surviving corporation, the Company or such Person shall have delivered to the Trustees an officers’ Certificate and an opinion of Counsel, each stating that such amalgamation, statutory arrangement, consolidation, merger, conveyance, transfer or lease and such supplemental indenture comply with this Article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8.02 Successor Person Substituted. </w:t>
      </w:r>
    </w:p>
    <w:p>
      <w:pPr>
        <w:pStyle w:val="TextBody"/>
        <w:bidi w:val="0"/>
        <w:spacing w:before="120" w:after="0"/>
        <w:jc w:val="left"/>
        <w:rPr>
          <w:rFonts w:ascii="Times New Roman" w:hAnsi="Times New Roman"/>
          <w:sz w:val="20"/>
        </w:rPr>
      </w:pPr>
      <w:r>
        <w:rPr>
          <w:rFonts w:ascii="Times New Roman" w:hAnsi="Times New Roman"/>
          <w:sz w:val="20"/>
        </w:rPr>
        <w:t xml:space="preserve">Upon any amalgamation or consolidation by the Company with or merger by the Company into any other corporation or any conveyance, transfer or lease all or substantially all of the properties and assets of the Company to any Person in accordance with Section 8.01, the successor Person formed by such amalgamation or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the Company (which term shall for this purpose mean the Person named as the “Company” in the first paragraph of this Indenture or any successor Person which shall theretofore become such in the manner described in Section 8.01), except in the case of a lease, shall be discharged of all obligations and covenants under this Indenture and the Securities and the coupons and may be dissolved and liquidated.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9.01</w:t>
      </w:r>
      <w:r>
        <w:rPr>
          <w:rFonts w:ascii="Times New Roman" w:hAnsi="Times New Roman"/>
          <w:sz w:val="20"/>
        </w:rPr>
        <w:t xml:space="preserve"> </w:t>
      </w:r>
      <w:r>
        <w:rPr>
          <w:rFonts w:ascii="Times New Roman" w:hAnsi="Times New Roman"/>
          <w:b/>
          <w:sz w:val="20"/>
        </w:rPr>
        <w:t>Supplemental Indentures Without Consent of Holders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the consent of any Holders, the Company, when authorized by or pursuant to a Board Resolution, and the Trustees, at any time and from time to time, may enter into one or more indentures supplemental hereto, in form satisfactory to the Trustees,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cure any ambiguity, defect or consistency as evidenced by an Officers’ Certificate; or </w:t>
      </w:r>
    </w:p>
    <w:p>
      <w:pPr>
        <w:pStyle w:val="TextBody"/>
        <w:bidi w:val="0"/>
        <w:spacing w:before="120" w:after="0"/>
        <w:jc w:val="left"/>
        <w:rPr>
          <w:rFonts w:ascii="Times New Roman" w:hAnsi="Times New Roman"/>
          <w:sz w:val="20"/>
        </w:rPr>
      </w:pPr>
      <w:r>
        <w:rPr>
          <w:rFonts w:ascii="Times New Roman" w:hAnsi="Times New Roman"/>
          <w:sz w:val="20"/>
        </w:rPr>
        <w:t xml:space="preserve">(ii) to comply with Article Eight, including but not limited to evidence the succession of another Person to the Company and the assumption by any such successor of the covenants of the Company contained herein and in the Securities; or </w:t>
      </w:r>
    </w:p>
    <w:p>
      <w:pPr>
        <w:pStyle w:val="TextBody"/>
        <w:bidi w:val="0"/>
        <w:spacing w:before="120" w:after="0"/>
        <w:jc w:val="left"/>
        <w:rPr>
          <w:rFonts w:ascii="Times New Roman" w:hAnsi="Times New Roman"/>
          <w:sz w:val="20"/>
        </w:rPr>
      </w:pPr>
      <w:r>
        <w:rPr>
          <w:rFonts w:ascii="Times New Roman" w:hAnsi="Times New Roman"/>
          <w:sz w:val="20"/>
        </w:rPr>
        <w:t xml:space="preserve">(iii) to surrender any of the Company’s rights or powers under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(iv) to add to the covenants of the Company for the benefit of the Holders of all or any series of Securities and any related coupons (and if such covenants are to be for the benefit of less than all series of Securities, stating that such covenants are being included solely for the benefit of such series) or to surrender any right or power herein conferred upon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(v) to add any additional Events of Default (and if such Events of Default are to be for the benefit of less than all series of Securities, stating that such Events of Default are being included solely for the benefit of such series); or </w:t>
      </w:r>
    </w:p>
    <w:p>
      <w:pPr>
        <w:pStyle w:val="TextBody"/>
        <w:bidi w:val="0"/>
        <w:spacing w:before="120" w:after="0"/>
        <w:jc w:val="left"/>
        <w:rPr>
          <w:rFonts w:ascii="Times New Roman" w:hAnsi="Times New Roman"/>
          <w:sz w:val="20"/>
        </w:rPr>
      </w:pPr>
      <w:r>
        <w:rPr>
          <w:rFonts w:ascii="Times New Roman" w:hAnsi="Times New Roman"/>
          <w:sz w:val="20"/>
        </w:rPr>
        <w:t xml:space="preserve">(vi) to add guarantees with respect to Securities of any Series or secure Securities of any Series; or </w:t>
      </w:r>
    </w:p>
    <w:p>
      <w:pPr>
        <w:pStyle w:val="TextBody"/>
        <w:bidi w:val="0"/>
        <w:spacing w:before="120" w:after="0"/>
        <w:jc w:val="left"/>
        <w:rPr>
          <w:rFonts w:ascii="Times New Roman" w:hAnsi="Times New Roman"/>
          <w:sz w:val="20"/>
        </w:rPr>
      </w:pPr>
      <w:r>
        <w:rPr>
          <w:rFonts w:ascii="Times New Roman" w:hAnsi="Times New Roman"/>
          <w:sz w:val="20"/>
        </w:rPr>
        <w:t xml:space="preserve">(vii) to add to or change any of the provisions of this Indenture to provide that Bearer Securities may be registrable as to principal, to change or eliminate any restrictions on the payment of principal of or any premium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provided that any such action shall not adversely affect the interests of the Holders of Securities of any series or any related coupons in any material respect; or </w:t>
      </w:r>
    </w:p>
    <w:p>
      <w:pPr>
        <w:pStyle w:val="TextBody"/>
        <w:bidi w:val="0"/>
        <w:spacing w:before="120" w:after="0"/>
        <w:jc w:val="left"/>
        <w:rPr>
          <w:rFonts w:ascii="Times New Roman" w:hAnsi="Times New Roman"/>
          <w:sz w:val="20"/>
        </w:rPr>
      </w:pPr>
      <w:r>
        <w:rPr>
          <w:rFonts w:ascii="Times New Roman" w:hAnsi="Times New Roman"/>
          <w:sz w:val="20"/>
        </w:rPr>
        <w:t xml:space="preserve">(viii) 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 </w:t>
      </w:r>
    </w:p>
    <w:p>
      <w:pPr>
        <w:pStyle w:val="TextBody"/>
        <w:bidi w:val="0"/>
        <w:spacing w:before="120" w:after="0"/>
        <w:jc w:val="left"/>
        <w:rPr>
          <w:rFonts w:ascii="Times New Roman" w:hAnsi="Times New Roman"/>
          <w:sz w:val="20"/>
        </w:rPr>
      </w:pPr>
      <w:r>
        <w:rPr>
          <w:rFonts w:ascii="Times New Roman" w:hAnsi="Times New Roman"/>
          <w:sz w:val="20"/>
        </w:rPr>
        <w:t xml:space="preserve">(ix) to change or eliminate any other of the provisions of this Indenture; provided that either (i) such change does not adversely affect the rights of any Holder, or (ii) any such change or elimination shall become effective only when there is no Security which is Outstanding of any series created prior to the execution of such supplemental indenture which is entitled to the benefit of such provision;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to provide for the issuance of and establish the form or terms and conditions of Securities of any series as permitted by this Indenture; or </w:t>
      </w:r>
    </w:p>
    <w:p>
      <w:pPr>
        <w:pStyle w:val="TextBody"/>
        <w:bidi w:val="0"/>
        <w:spacing w:before="120" w:after="0"/>
        <w:jc w:val="left"/>
        <w:rPr>
          <w:rFonts w:ascii="Times New Roman" w:hAnsi="Times New Roman"/>
          <w:sz w:val="20"/>
        </w:rPr>
      </w:pPr>
      <w:r>
        <w:rPr>
          <w:rFonts w:ascii="Times New Roman" w:hAnsi="Times New Roman"/>
          <w:sz w:val="20"/>
        </w:rPr>
        <w:t xml:space="preserve">(xi) to provide for uncertified Securities in addition to or in place of certified Securities; or </w:t>
      </w:r>
    </w:p>
    <w:p>
      <w:pPr>
        <w:pStyle w:val="TextBody"/>
        <w:bidi w:val="0"/>
        <w:spacing w:before="120" w:after="0"/>
        <w:jc w:val="left"/>
        <w:rPr>
          <w:rFonts w:ascii="Times New Roman" w:hAnsi="Times New Roman"/>
          <w:sz w:val="20"/>
        </w:rPr>
      </w:pPr>
      <w:r>
        <w:rPr>
          <w:rFonts w:ascii="Times New Roman" w:hAnsi="Times New Roman"/>
          <w:sz w:val="20"/>
        </w:rPr>
        <w:t xml:space="preserve">(xii)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6.10(b); or </w:t>
      </w:r>
    </w:p>
    <w:p>
      <w:pPr>
        <w:pStyle w:val="TextBody"/>
        <w:bidi w:val="0"/>
        <w:spacing w:before="120" w:after="0"/>
        <w:jc w:val="left"/>
        <w:rPr>
          <w:rFonts w:ascii="Times New Roman" w:hAnsi="Times New Roman"/>
          <w:sz w:val="20"/>
        </w:rPr>
      </w:pPr>
      <w:r>
        <w:rPr>
          <w:rFonts w:ascii="Times New Roman" w:hAnsi="Times New Roman"/>
          <w:sz w:val="20"/>
        </w:rPr>
        <w:t xml:space="preserve">(xiii) to comply with the requirements of the Commission in order to effect or maintain the qualification of this Indenture under the TIA; or </w:t>
      </w:r>
    </w:p>
    <w:p>
      <w:pPr>
        <w:pStyle w:val="TextBody"/>
        <w:bidi w:val="0"/>
        <w:spacing w:before="120" w:after="0"/>
        <w:jc w:val="left"/>
        <w:rPr>
          <w:rFonts w:ascii="Times New Roman" w:hAnsi="Times New Roman"/>
          <w:sz w:val="20"/>
        </w:rPr>
      </w:pPr>
      <w:r>
        <w:rPr>
          <w:rFonts w:ascii="Times New Roman" w:hAnsi="Times New Roman"/>
          <w:sz w:val="20"/>
        </w:rPr>
        <w:t xml:space="preserve">(xiv) to close this Indenture with respect to the authentication and delivery of additional series of Securities, to cure any ambiguity, to correct or supplement any provision herein which may be inconsistent with any other provision herein, or to make any other provisions with respect to matters or questions arising under this Indenture; provided that any such action shall not adversely affect the interests of the Holders of Securities of any series and any related coupons in any material respect; or </w:t>
      </w:r>
    </w:p>
    <w:p>
      <w:pPr>
        <w:pStyle w:val="TextBody"/>
        <w:bidi w:val="0"/>
        <w:spacing w:before="120" w:after="0"/>
        <w:jc w:val="left"/>
        <w:rPr>
          <w:rFonts w:ascii="Times New Roman" w:hAnsi="Times New Roman"/>
          <w:sz w:val="20"/>
        </w:rPr>
      </w:pPr>
      <w:r>
        <w:rPr>
          <w:rFonts w:ascii="Times New Roman" w:hAnsi="Times New Roman"/>
          <w:sz w:val="20"/>
        </w:rPr>
        <w:t xml:space="preserve">(xv) to supplement any of the provisions of this Indenture to such extent as shall be necessary to permit or facilitate the defeasance and discharge of any series of Securities pursuant to Sections Section 4.01, Section 14.02 and Section 14.02; provided that any such action shall not adversely affect the interests of the Holders of Securities of such series and any related coupons or any other series of securities in any material respect; or </w:t>
      </w:r>
    </w:p>
    <w:p>
      <w:pPr>
        <w:pStyle w:val="TextBody"/>
        <w:bidi w:val="0"/>
        <w:spacing w:before="120" w:after="0"/>
        <w:jc w:val="left"/>
        <w:rPr>
          <w:rFonts w:ascii="Times New Roman" w:hAnsi="Times New Roman"/>
          <w:sz w:val="20"/>
        </w:rPr>
      </w:pPr>
      <w:r>
        <w:rPr>
          <w:rFonts w:ascii="Times New Roman" w:hAnsi="Times New Roman"/>
          <w:sz w:val="20"/>
        </w:rPr>
        <w:t xml:space="preserve">(xvi) to modify, eliminate or add to the provisions of this Indenture to such extent as shall be necessary to effect the qualifications of this Indenture under any applicable law of the United States and Canada or of any province or territory thereof to the extent they do not conflict with the applicable law of the United States heretofore or hereafter enacted; or </w:t>
      </w:r>
    </w:p>
    <w:p>
      <w:pPr>
        <w:pStyle w:val="TextBody"/>
        <w:bidi w:val="0"/>
        <w:spacing w:before="120" w:after="0"/>
        <w:jc w:val="left"/>
        <w:rPr>
          <w:rFonts w:ascii="Times New Roman" w:hAnsi="Times New Roman"/>
          <w:sz w:val="20"/>
        </w:rPr>
      </w:pPr>
      <w:r>
        <w:rPr>
          <w:rFonts w:ascii="Times New Roman" w:hAnsi="Times New Roman"/>
          <w:sz w:val="20"/>
        </w:rPr>
        <w:t xml:space="preserve">(xvii) to comply with the applicable procedures of the applicable depository; or </w:t>
      </w:r>
    </w:p>
    <w:p>
      <w:pPr>
        <w:pStyle w:val="TextBody"/>
        <w:bidi w:val="0"/>
        <w:spacing w:before="120" w:after="0"/>
        <w:jc w:val="left"/>
        <w:rPr>
          <w:rFonts w:ascii="Times New Roman" w:hAnsi="Times New Roman"/>
          <w:sz w:val="20"/>
        </w:rPr>
      </w:pPr>
      <w:r>
        <w:rPr>
          <w:rFonts w:ascii="Times New Roman" w:hAnsi="Times New Roman"/>
          <w:sz w:val="20"/>
        </w:rPr>
        <w:t xml:space="preserve">(xviii) to conform any provision of this Indenture, in so far as it relates to the Securities of such Series, to the description of the Securities of such Series in the prospectus supplement relation to the offering of the Securities of such Series; or </w:t>
      </w:r>
    </w:p>
    <w:p>
      <w:pPr>
        <w:pStyle w:val="TextBody"/>
        <w:bidi w:val="0"/>
        <w:spacing w:before="120" w:after="0"/>
        <w:jc w:val="left"/>
        <w:rPr>
          <w:rFonts w:ascii="Times New Roman" w:hAnsi="Times New Roman"/>
          <w:sz w:val="20"/>
        </w:rPr>
      </w:pPr>
      <w:r>
        <w:rPr>
          <w:rFonts w:ascii="Times New Roman" w:hAnsi="Times New Roman"/>
          <w:sz w:val="20"/>
        </w:rPr>
        <w:t xml:space="preserve">(xix) to change or eliminate any provisions where such change takes effect when there are no Securities of any series outstanding under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9.02 Supplemental Indentures with Consent of Holders. </w:t>
      </w:r>
    </w:p>
    <w:p>
      <w:pPr>
        <w:pStyle w:val="TextBody"/>
        <w:bidi w:val="0"/>
        <w:spacing w:before="120" w:after="0"/>
        <w:jc w:val="left"/>
        <w:rPr>
          <w:rFonts w:ascii="Times New Roman" w:hAnsi="Times New Roman"/>
          <w:sz w:val="20"/>
        </w:rPr>
      </w:pPr>
      <w:r>
        <w:rPr>
          <w:rFonts w:ascii="Times New Roman" w:hAnsi="Times New Roman"/>
          <w:sz w:val="20"/>
        </w:rPr>
        <w:t xml:space="preserve">With the consent of the Holders of not less than a majority in principal amount of all Outstanding Securities affected by such supplemental indenture, by Act of said Holders delivered to the Company and the Trustees, the Company, when authorized by or pursuant to a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Resolution, and the Trustees may enter into an indenture or indentures supplemental hereto for the purpose of adding any provisions to or changing in any manner or eliminating any of the provisions of this Indenture which affect such series of Securities or of modifying in any manner the rights of the Holders of Securities of such series under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supplemental indenture shall, without the consent of the Holder of each Outstanding Security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(i) change the Stated Maturity of the principal of (or premium, if any) or any installment of interest on any Security of such series, or reduce the principal amount thereof (or premium, if any) or the rate of interest, if any, thereon, or change any obligation of the Company to pay Additional Amounts contemplated by Section 10.05 (except as contemplated by Section 8.01(i) and permitted by Section 9.01(i)), or reduce the amount of the principal of an Original Issue Discount Security of such series that would be due and payable upon a declaration of acceleration of the Maturity thereof pursuant to Section 5.02 or the amount thereof provable in bankruptcy pursuant to Section 5.04,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adversely affect any right to convert or exchange any Security as may be provided pursuant to Section 3.01 herein, or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percentage in principal amount of the Outstanding Securities of such series required for any such supplemental indenture, or the consent of whose Holders is required for any waiver of compliance with certain provisions of this Indenture which affect such series or certain defaults applicable to such series hereunder and their consequences provided for in this Indenture, or reduce the requirements of Section 15.04 for quorum or voting with respect to Securities of such series, or </w:t>
      </w:r>
    </w:p>
    <w:p>
      <w:pPr>
        <w:pStyle w:val="TextBody"/>
        <w:bidi w:val="0"/>
        <w:spacing w:before="120" w:after="0"/>
        <w:jc w:val="left"/>
        <w:rPr>
          <w:rFonts w:ascii="Times New Roman" w:hAnsi="Times New Roman"/>
          <w:sz w:val="20"/>
        </w:rPr>
      </w:pPr>
      <w:r>
        <w:rPr>
          <w:rFonts w:ascii="Times New Roman" w:hAnsi="Times New Roman"/>
          <w:sz w:val="20"/>
        </w:rPr>
        <w:t xml:space="preserve">(iii) modify any of the provisions of this Section, Section 5.13 or Section 10.09, except to increase any such percentage or to provide that certain other provisions of this Indenture which affect such series cannot be modified or waived without the consent of the Holder of each Outstanding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Any such supplemental indenture adding any provisions to or changing in any manner or eliminating any of the provisions of this Indenture, or modifying in any manner the rights of the Holders of Securities of such series, shall not affect the rights under this Indenture of the Holders of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any Act of Holders under this Section to approve the particular form of any proposed supplemental indenture, but it shall be sufficient if such Act shall approve the substance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9.03 Execution of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Trustees shall be entitled to receive, in addition to the documents required by Section 1.02, and shall be fully protected in relying upon, an Opinion of Counsel stating that the execution of such supplemental indenture is authorized or permitted by this Indenture. Each Trustee may, but shall not be obligated to, enter into any such supplemental indenture which affects such Trustee’s own rights, duties or immunities under this Indenture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9.04 Effect of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9.05 Conformity with Trust Indenture Legislation. </w:t>
      </w:r>
    </w:p>
    <w:p>
      <w:pPr>
        <w:pStyle w:val="TextBody"/>
        <w:bidi w:val="0"/>
        <w:spacing w:before="120" w:after="0"/>
        <w:jc w:val="left"/>
        <w:rPr>
          <w:rFonts w:ascii="Times New Roman" w:hAnsi="Times New Roman"/>
          <w:sz w:val="20"/>
        </w:rPr>
      </w:pPr>
      <w:r>
        <w:rPr>
          <w:rFonts w:ascii="Times New Roman" w:hAnsi="Times New Roman"/>
          <w:sz w:val="20"/>
        </w:rPr>
        <w:t xml:space="preserve">Every supplemental indenture executed pursuant to this Article shall conform to the requirements of Trust Indenture Legislation as then in effect.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9.06 Reference in Securities to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this Article may, and shall if required by the Trustees, bear a notation in form approved by the Trustees as to any matter provided for in such supplemental indenture. If the Company shall so determine, new Securities of any series so modified as to conform, in the opinion of the Trustees and the Company, to any such supplemental indenture may be prepared and executed by the Company and authenticated and delivered by the Trustees in exchange for outstanding Securities of such series.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9.07 Notice of Supplemental Indentures. </w:t>
      </w:r>
    </w:p>
    <w:p>
      <w:pPr>
        <w:pStyle w:val="TextBody"/>
        <w:bidi w:val="0"/>
        <w:spacing w:before="120" w:after="0"/>
        <w:jc w:val="left"/>
        <w:rPr>
          <w:rFonts w:ascii="Times New Roman" w:hAnsi="Times New Roman"/>
          <w:sz w:val="20"/>
        </w:rPr>
      </w:pPr>
      <w:r>
        <w:rPr>
          <w:rFonts w:ascii="Times New Roman" w:hAnsi="Times New Roman"/>
          <w:sz w:val="20"/>
        </w:rPr>
        <w:t xml:space="preserve">Promptly after the execution by the Company and the Trustees of any supplemental indenture pursuant to the provisions of Section 9.02, the Company shall give notice thereof to the Holders of each outstanding Security affected, in the manner provided for in Section 1.06, setting forth in general terms the substance of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Payment of Principal, Premium, if any, and Interest.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and any related coupons that it will duly and punctually pay the principal of (and premium, if any) and interest, if any, on the Securities of that series in accordance with the terms of the Securities, any coupons appertaining thereto and this Indenture. Unless otherwise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contemplated by Section 3.01 with respect to any series of Securities, any interest installments due on Bearer Securities on or before Maturity shall be payable only upon presentation and surrender of the several coupons for such interest installments as are evidenced thereby as they severally mature.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10.02 Maintenance of Officer or Agency. </w:t>
      </w:r>
    </w:p>
    <w:p>
      <w:pPr>
        <w:pStyle w:val="TextBody"/>
        <w:bidi w:val="0"/>
        <w:spacing w:before="120" w:after="0"/>
        <w:jc w:val="left"/>
        <w:rPr>
          <w:rFonts w:ascii="Times New Roman" w:hAnsi="Times New Roman"/>
          <w:sz w:val="20"/>
        </w:rPr>
      </w:pPr>
      <w:r>
        <w:rPr>
          <w:rFonts w:ascii="Times New Roman" w:hAnsi="Times New Roman"/>
          <w:sz w:val="20"/>
        </w:rPr>
        <w:t xml:space="preserve">(i) If the Securities of a series are issuable as Registered Securities, 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and, if the Securities of a series are also issuable as Bearer Securities, where Bearer Securities of that series and related coupons may be presented or surrendered for payment in the circumstances described in Subsection 10.02(3). </w:t>
      </w:r>
    </w:p>
    <w:p>
      <w:pPr>
        <w:pStyle w:val="TextBody"/>
        <w:bidi w:val="0"/>
        <w:spacing w:before="120" w:after="0"/>
        <w:jc w:val="left"/>
        <w:rPr>
          <w:rFonts w:ascii="Times New Roman" w:hAnsi="Times New Roman"/>
          <w:sz w:val="20"/>
        </w:rPr>
      </w:pPr>
      <w:r>
        <w:rPr>
          <w:rFonts w:ascii="Times New Roman" w:hAnsi="Times New Roman"/>
          <w:sz w:val="20"/>
        </w:rPr>
        <w:t xml:space="preserve">(ii) If Securities of a series are issuable as Bearer Securities, the Company will maintain (A) subject to any laws or regulations applicable thereto, in a Place of Payment for that series which is located outside the United States, an office or agency where Securities of that series and related coupons may be presented and surrendered for payment; provided, however, that, if the Securities of that series are listed on any securities exchange located outside the United States and such securities exchange shall so require, the Company will maintain a Paying Agent for the Securities of that series in any required city located outside the United States so long as the Securities of that series are listed on such exchange and (B)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exchange, where Securities of that series that are convertible and exchangeable may be surrendered for conversion or exchange, as applicable, and where notices and demands to or upon the Company in respect of the Securities of that series and this Indenture may be served.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will give prompt written notice to the Trustees of the location, and any change in the location, of such office or agency. If at any time the Company shall fail to maintain any such required office or agency or shall fail to furnish the Trustees with the address thereof, such presentations, surrenders, notices and demands may be made or served at the Corporate Trust Office of the U.S. Trustee, except that Bearer Securities of any series and the related coupons may be presented and surrendered for payment at the offices specified in the Security, in London, and the Company hereby appoints the same as its agents to receive such respective presentations, surrenders, notices and demands. </w:t>
      </w:r>
    </w:p>
    <w:p>
      <w:pPr>
        <w:pStyle w:val="TextBody"/>
        <w:bidi w:val="0"/>
        <w:spacing w:before="120" w:after="0"/>
        <w:jc w:val="left"/>
        <w:rPr>
          <w:rFonts w:ascii="Times New Roman" w:hAnsi="Times New Roman"/>
          <w:sz w:val="20"/>
        </w:rPr>
      </w:pPr>
      <w:r>
        <w:rPr>
          <w:rFonts w:ascii="Times New Roman" w:hAnsi="Times New Roman"/>
          <w:sz w:val="20"/>
        </w:rPr>
        <w:t xml:space="preserve">(iv) Unless otherwise specified with respect to any Securities pursuant to Section 3.01, no payment of principal, premium or interest on Bearer Securities shall be made at any office or agency of the Company in the United States or by check mailed to any address in the United States or by transfer to an account maintained with a back located in the United States; provided, however, that, if the Securities of a series are payable in Dollars, payment of principal of (and premium, if any) and interest, if any, on any Bearer Security shall be made at the office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Paying Agent in the City of New York, if (but only if) payment in Dollars of the full amount of such principals, premium or interest, as the case may be, at all offices or agencies outside the United States maintained of such purpose by the Company in accordance with this Indenture is illegal or effectively precluded by exchange controls or other similar restrictions. </w:t>
      </w:r>
    </w:p>
    <w:p>
      <w:pPr>
        <w:pStyle w:val="TextBody"/>
        <w:bidi w:val="0"/>
        <w:spacing w:before="120" w:after="0"/>
        <w:jc w:val="left"/>
        <w:rPr>
          <w:rFonts w:ascii="Times New Roman" w:hAnsi="Times New Roman"/>
          <w:sz w:val="20"/>
        </w:rPr>
      </w:pPr>
      <w:r>
        <w:rPr>
          <w:rFonts w:ascii="Times New Roman" w:hAnsi="Times New Roman"/>
          <w:sz w:val="20"/>
        </w:rPr>
        <w:t xml:space="preserve">(v) The Company may also from time to time designate one or more other offices or agencies where the Securities of one or more series may be presented or surrendered for any or all such purposes and may from time to time rescind any such designation; provided, however,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Trustees of any such designation or rescission and of any change in the location of any such other office or agency. Unless otherwise specified with respect to any Securities as contemplated by Section 3.01 with respect to a series of Securities, the Company hereby initially appoints the U.S. Trustee at its Corporate Trust office as Paying Agent in such city and as its agent to receive all such presentations, surrenders, notices and demands. </w:t>
      </w:r>
    </w:p>
    <w:p>
      <w:pPr>
        <w:pStyle w:val="TextBody"/>
        <w:bidi w:val="0"/>
        <w:spacing w:before="120" w:after="0"/>
        <w:jc w:val="left"/>
        <w:rPr>
          <w:rFonts w:ascii="Times New Roman" w:hAnsi="Times New Roman"/>
          <w:sz w:val="20"/>
        </w:rPr>
      </w:pPr>
      <w:r>
        <w:rPr>
          <w:rFonts w:ascii="Times New Roman" w:hAnsi="Times New Roman"/>
          <w:sz w:val="20"/>
        </w:rPr>
        <w:t xml:space="preserve">(vi) 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10.03</w:t>
      </w:r>
      <w:r>
        <w:rPr>
          <w:rFonts w:ascii="Times New Roman" w:hAnsi="Times New Roman"/>
          <w:sz w:val="20"/>
        </w:rPr>
        <w:t xml:space="preserve"> </w:t>
      </w:r>
      <w:r>
        <w:rPr>
          <w:rFonts w:ascii="Times New Roman" w:hAnsi="Times New Roman"/>
          <w:b/>
          <w:sz w:val="20"/>
        </w:rPr>
        <w:t>Money for Securities Payments to Be Held in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shall at any time act as its own Paying Agent with respect to any series of Securities and any related coupons,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Section 3.12(b), Section 3.12(d) and Section 3.12(e)) sufficient to pay the principal of (or premium, if any) or interest, if any, on Securities of such series so becoming due until such sums shall be paid to such Persons or otherwise disposed of as herein provided and will promptly notify the Trustees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Whenever the Company shall have one or more Paying Agents for any series of Securities and any related coupons, it will, prior to or on each due date of the principal of (or premium, if any) or interest, if any, on any Securities of that series, deposit with a Paying Agent a sum (in the Currency described in the preceding paragraph) sufficient to pay the principal (or premium, if any) or interest, if any, so becoming due, such sum to be held in trust for the benefit of the Persons entitled to such principal, premium or interest, and (unless such Paying Agent is such Trustee) the Company will promptly notify the Trustees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cause each Paying Agent (other than the Trustees) for any series of Securities to execute and deliver to the Trustees an instrument in which such Paying Agent shall agree with the Trustees, subject to the provisions of this Section, that such Paying Agent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hold all sums held by it for the payment of the principal of (and premium, if any) and interest, if any, on Securities of such series in trust for the benefit of the Persons entitled thereto until such sums shall be paid to such Persons or otherwise disposed of as herein provided; </w:t>
      </w:r>
    </w:p>
    <w:p>
      <w:pPr>
        <w:pStyle w:val="TextBody"/>
        <w:bidi w:val="0"/>
        <w:spacing w:before="120" w:after="0"/>
        <w:jc w:val="left"/>
        <w:rPr>
          <w:rFonts w:ascii="Times New Roman" w:hAnsi="Times New Roman"/>
          <w:sz w:val="20"/>
        </w:rPr>
      </w:pPr>
      <w:r>
        <w:rPr>
          <w:rFonts w:ascii="Times New Roman" w:hAnsi="Times New Roman"/>
          <w:sz w:val="20"/>
        </w:rPr>
        <w:t xml:space="preserve">(ii) give the Trustees notice of any default by the Company (or any other obligor upon the Securities of such series) in the making of any payment of principal of (or premium, if any) or interest, if any, on the Securities of such series; and </w:t>
      </w:r>
    </w:p>
    <w:p>
      <w:pPr>
        <w:pStyle w:val="TextBody"/>
        <w:bidi w:val="0"/>
        <w:spacing w:before="120" w:after="0"/>
        <w:jc w:val="left"/>
        <w:rPr>
          <w:rFonts w:ascii="Times New Roman" w:hAnsi="Times New Roman"/>
          <w:sz w:val="20"/>
        </w:rPr>
      </w:pPr>
      <w:r>
        <w:rPr>
          <w:rFonts w:ascii="Times New Roman" w:hAnsi="Times New Roman"/>
          <w:sz w:val="20"/>
        </w:rPr>
        <w:t xml:space="preserve">(iii) at any time during the continuance of any such default, upon the written request of the Trustees, forthwith pay to the Trustees all sums so held in trust by such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Trustees all sums held in trust by the Company or such Paying Agent, such sums to be held by the Trustees upon the same trusts as those upon which sums were held by the Company or such Paying Agent; and, upon such payment by any Paying Agent to the Trustees, such Paying Agent shall be released from all further liability with respect to such sums.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the Securities of any series, any money deposited with the Trustees or any Paying Agent, or then held by the Company, in trust for the payment of the principal of (or premium, if any) or interest, if any, on any Security of any series, or any coupon appertaining thereto, and remaining unclaimed for two years after such principal, premium or interest has become due and payable shall be paid to the Company on Company Request, or (if then held by the Company) shall be discharged from such trust; and the Holder of such Security or coupon shall thereafter, as an unsecured general creditor, look only to the Company for payment thereof, and all liability of the Trustees or such Paying Agent with respect to such trust money, and all liability of the Company as trustee thereof, shall thereupon cease;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Trustees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10.04 Statements as to Compliance.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deliver to the Trustees, on or before 120 days after the end of the Company’s fiscal year and at any other reasonable time at the request of a Trustee, an Officers’ Certificate stating that a review of the activities of the Company during such fiscal year has been made under the supervision of the signing officers with a view to determining whether the Company has kept, observed, performed and fulfilled its obligations under this Indenture, and further stating, as to each such officer signing such certificate, that the Company has kept, observed, performed and fulfilled each and every covenant contained in this Indenture and is not in default in the performance or observance of any of the terms, provisions and conditions hereof (or, if a Default or Event of Default shall have occurred and is continuing, describing all such Defaults or Events of Default of which he or she may have knowledge and what action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is taking or propose to take with respect thereto). The Company shall deliver to the Trustees upon demand evidence in such form as the Trustees may require as to compliance by the Company with any condition or covenant of the Company set out herein relating to any action required or permitted to be taken by the Company under this Indenture or as a result of any obligation imposed by this Indenture. For purposes of this Section, such compliance shall be determined without regard to any period of grace or requirement of notice under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10.05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If specified pursuant to Section 3.01, all payments made by or on behalf of the Company under or with respect to the Securities of any series will be made free and clear of and without withholding or deduction for or on account of any present or future tax, duty, levy, impost, assessment or other government charge (including penalties, interest and other liabilities related thereto) imposed or levied by or on behalf of the Government of Canada or of any province or territory thereof or by any authority or agency therein or thereof having power to tax (“Canadian Taxes”), unless the Company is required to withhold or deduct Canadian Taxes by law or by the interpretation or administration thereof by the relevant government authority or agency. If the Company is so required to withhold or deduct any amount for or on account of Canadian Taxes from any payment made under or with respect to the Securities, the Company will pay as additional interest such additional amounts (“Additional Amounts”) as may be necessary so that the net amount received by each Holder after such withholding or deduction (including with respect to Additional Amounts) will not be less than the amount the Holder would have received if such Canadian Taxes had not been withheld or deducted;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Additional Amounts will be payable with respect to a payment made to a Holder (an “Excluded Holder”) in respect of the beneficial owner thereof (i) with which the Company does not deal at arm’s length (for purposes of the Income Tax Act (Canada)) at the time of the making of such payment, (ii) which is subject to such Canadian Taxes by reason of its failure to comply with any certification, identification, information, documentation or other reporting requirement if compliance is required by law, regulation, administrative practice or an applicable treaty as a precondition to exemption from, or a reduction in the rate of deduction or withholding of, such Canadian Taxes, (iii) which is subject to such Canadian Taxes by reason of its being a resident, domicile or national of, or engaged in business or maintaining a permanent establishment or other physical presence in or otherwise having some connection with Canada or any province or territory thereof otherwise than by the mere holding of Securities or the receipt of payments thereunder, or (iv) which is subject to such Canadian Taxes because it is not entitled to the benefit of an otherwise applicable tax treaty by reason of the legal nature of such Holder. The Company will make such withholding or deduction and remit the full amount deducted or withheld to the relevant authority as and when required in accordance with applicable law. The Company will pay all taxes, interest and other liabilities which arise by virtue of any failure of the Company to withhold, deduct and remit to the relevant authority on a timely basis the full amounts required in accordance with applicable law. The Company will furnish to the Holders, within 60 days after the date the payment of any Canadian Taxes is due pursuant to applicable law, certified copies of tax receipts or other satisfactory evidence of such payment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as a result of any payment by or on behalf of the Company under or with respect to the Securities of any series, any Holder is required to pay tax under Part XIII of the Income Tax Act (Canada) or any successor provisions in circumstances where the Company is not required to make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withholding with respect to such tax (for instance, in accordance with Section 803 of the Regulations to the Income Tax Act (Canada)), then the Company will, upon demand by any such Holder, indemnify such Holder (other than a Holder (i) with which the Company does not deal at arm’s length (for the purposes of the Income Tax Act (Canada)) at the time of the making of such payment; (ii) which is subject to such Canadian Taxes by reason of its failure to comply with any certification, identification, information, documentation or other reporting requirement if compliance is required by law, regulation, administrative practice or an applicable treaty as a precondition to exemption from, or a reduction in the rate of deduction or withholding of, such Canadian Taxes for the payment of any such taxes, together with any interest, penalties and expenses in connection therewith), or (iii) which is subject to such Canadian Taxes because it is not entitled to the benefit of an otherwise applicable tax treaty by reason of the legal nature of such Holder. All such amounts shall be payable by the Company on demand and shall bear interest at the rate borne by the Securities, calculated from the date incurred by the Holder to the date paid by the Company. All such amounts shall be Additional Amounts for the purpose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the Company becoming aware that the Company will be obligated to pay Additional Amounts with respect to a payment hereunder, the Company will deliver to the Trustees and to any Paying Agent an Officers’ Certificate stating the fact that such Additional Amounts will be payable and the amounts so payable. References in this Indenture to interest, principal or other payments made or to be made by the Company with respect to the Securities shall be deemed also to refer to the payment of Additional Amounts provided for in Section 3.01 that may be payable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10.05 shall survive any termination, defeasance or discharge of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10.06 Payment of Taxes and Other Claims.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or discharge or cause to be paid or discharged, before the same shall become delinquent, (1) all material taxes, assessments and governmental charges levied or imposed upon the Company or any Subsidiary or upon the income, profits or property of the Company or any Subsidiary, and (2) all material lawful claims for labor, materials and supplies which, if unpaid, might by law become a Lien upon any property or assets of the Company or any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pay or discharge or cause to be paid or discharged any such tax, assessment, charge or claim whose amount, applicability or validity is being contested in good faith by appropriate proceedings.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10.07 Corporate Existence. </w:t>
      </w:r>
    </w:p>
    <w:p>
      <w:pPr>
        <w:pStyle w:val="TextBody"/>
        <w:bidi w:val="0"/>
        <w:spacing w:before="120" w:after="0"/>
        <w:jc w:val="left"/>
        <w:rPr>
          <w:rFonts w:ascii="Times New Roman" w:hAnsi="Times New Roman"/>
          <w:sz w:val="20"/>
        </w:rPr>
      </w:pPr>
      <w:r>
        <w:rPr>
          <w:rFonts w:ascii="Times New Roman" w:hAnsi="Times New Roman"/>
          <w:sz w:val="20"/>
        </w:rPr>
        <w:t xml:space="preserve">Subject to Article Eight, the Company will do or cause to be done all things necessary to preserve and keep in full force and effect its corporate existence and the rights (charter and statutory) and franchises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preserve any such right or franchise if the Company shall determine that the preservation thereof is no longer desirable in the conduct of the business of the Company and its Subsidiaries as a whole and that the loss thereof is not disadvantageous in any material respect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10.08 SEC Reporting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confirms that as of the date of this Indenture, it has either (i) a class of securities registered pursuant to Section 12 of the Exchange Act; or (ii) a reporting obligation pursuant to Section 15(d) of the Exchange Act, and has provided the Trustees with an Officers’ Certificate (in a form provided by the Trustees) certifying such reporting obligation and other information as requested by the Trustees. The Company covenants that in the event that any such registration or reporting obligation shall be terminated by the Company in accordance with the Exchange Act, the Company shall promptly notify the Trustees of such termination and provide such other information as the Trustees may reasonably require at the time. The Company acknowledges that the Canadian Trustee is relying upon the foregoing representation and covenants in order to meet certain obligations with respect to those clients who are filing with the Commission.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10.09 Waiver of 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with respect to any series of Securities, omit in any particular instance to comply with any term, provision or condition which affects such series set forth in Sections Section 10.06 and Section 10.07, or, as specified pursuant to Section 3.01(17) for Securities of such series, in any covenants of the Company added to this Article pursuant to Section 3.01(16) or Section 3.01(17) in connection with Securities of such series, if before the time for such compliance the Holders of at least a majority in principal amount of all Outstanding Securities of any series, by Act of such Holders, waive such compliance in such instance with such term, provision or condition, but no such waiver shall extend to or affect such term, provision or condition except to the extent so expressly waived, and, until such waiver shall become effective, the obligations of the Company and the duties of the Trustees to Holders of Securities of such series in respect of any such term, provision or condition shall remain in full force and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11.01 Applicability of Article. </w:t>
      </w:r>
    </w:p>
    <w:p>
      <w:pPr>
        <w:pStyle w:val="TextBody"/>
        <w:bidi w:val="0"/>
        <w:spacing w:before="120" w:after="0"/>
        <w:jc w:val="left"/>
        <w:rPr>
          <w:rFonts w:ascii="Times New Roman" w:hAnsi="Times New Roman"/>
          <w:sz w:val="20"/>
        </w:rPr>
      </w:pPr>
      <w:r>
        <w:rPr>
          <w:rFonts w:ascii="Times New Roman" w:hAnsi="Times New Roman"/>
          <w:sz w:val="20"/>
        </w:rPr>
        <w:t xml:space="preserve">Securities of any series which are redeemable before their Stated Maturity shall be redeemable in accordance with the terms of such Securities and (except as otherwise specified as contemplated by Section 3.01 for Securities of any series) in accordance with this Article.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w:t>
      </w:r>
      <w:r>
        <w:rPr>
          <w:rFonts w:ascii="Times New Roman" w:hAnsi="Times New Roman"/>
          <w:b/>
          <w:sz w:val="20"/>
        </w:rPr>
        <w:t>Election to Redeem; Notice to Trustees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election of the Company to redeem any securities shall be evidenced by or pursuant to a Board Resolution. In case of any redemption at the election of the Company, the Company shall, at least 30 days prior to the Redemption Date fixed by the Company (unless a shorter notice shall be satisfactory to the Trustees), notify the Trustees of such Redemption Date and of the principal amount of Securities of such series to be redeemed and shall deliver to the Trustees such documentation and records as shall enable the Trustees to select the Securities to be redeemed pursuant to Section 11.03. In the case of any redemption of Securities prior to the expiration of any restriction on such redemption provided in the terms of such Securities or elsewhere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the Company shall furnish to the Trustees an Officers’ Certificate evidencing compliance with such restriction.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11.03 Selection by Trustees of Securities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If less than all the Securities of any series are to be redeemed, the particular Securities to be redeemed shall be selected not more than 60 days prior to the Redemption Date by the Trustees, from the Outstanding Securities of such series not previously called for redemption, by such method as the Trustees shall deem fair and appropriate and which may provide for the selection for redemption of portions of the principal of Securities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partial redemption shall reduce the portion of the principal amount of a Security not redeemed to less than the minimum authorized denomination for Securities of such series established pursuant to Section 3.01. </w:t>
      </w:r>
    </w:p>
    <w:p>
      <w:pPr>
        <w:pStyle w:val="TextBody"/>
        <w:bidi w:val="0"/>
        <w:spacing w:before="240" w:after="0"/>
        <w:jc w:val="left"/>
        <w:rPr>
          <w:rFonts w:ascii="Times New Roman" w:hAnsi="Times New Roman"/>
          <w:sz w:val="20"/>
        </w:rPr>
      </w:pPr>
      <w:r>
        <w:rPr>
          <w:rFonts w:ascii="Times New Roman" w:hAnsi="Times New Roman"/>
          <w:sz w:val="20"/>
        </w:rPr>
        <w:t xml:space="preserve">The Trustees shall promptly notify the Company in writing of the Securities selected for redemption and, in the case of any Securities selected for partial redemption, the principal amount thereof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11.04 Notice of Redemption.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specified as contemplated by Section 3.01, notice of redemption shall be given in the manner provided for in Section 1.06 not less than 30 nor more than 60 days prior to the Redemption Date, to each Holder of Securities to be redeemed. Failure to give notice in the manner provided in Section 1.06 to the Holder of any Securities designated for redemption as a whole or in part, or any defect in the notice to any such Holder, shall not affect the validity of the proceedings for the redemption of any other Securities or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redemption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 and the amount of accrued interest to the Redemption Date payable as provided in Section 11.06, if any (or, if the Redemption Price or the amount of accrued interest to the Redemption Date is not then ascertainable, the manner of calculation thereof), </w:t>
      </w:r>
    </w:p>
    <w:p>
      <w:pPr>
        <w:pStyle w:val="TextBody"/>
        <w:bidi w:val="0"/>
        <w:spacing w:before="120" w:after="0"/>
        <w:jc w:val="left"/>
        <w:rPr>
          <w:rFonts w:ascii="Times New Roman" w:hAnsi="Times New Roman"/>
          <w:sz w:val="20"/>
        </w:rPr>
      </w:pPr>
      <w:r>
        <w:rPr>
          <w:rFonts w:ascii="Times New Roman" w:hAnsi="Times New Roman"/>
          <w:sz w:val="20"/>
        </w:rPr>
        <w:t xml:space="preserve">(iii) if less than all the Outstanding Securities of any series are to be redeemed, the identification (and, in the case of partial redemption, the principal amounts) of the particular Securities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(iv) in case any Security is to be redeemed in part only, the notice which relates to such Security shall state that on and after the Redemption Date, upon surrender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 the holder will receive, without charge, a new Security or Securities of authorized denominations for the principal amount thereof remaining unredeemed, </w:t>
      </w:r>
    </w:p>
    <w:p>
      <w:pPr>
        <w:pStyle w:val="TextBody"/>
        <w:bidi w:val="0"/>
        <w:spacing w:before="120" w:after="0"/>
        <w:jc w:val="left"/>
        <w:rPr>
          <w:rFonts w:ascii="Times New Roman" w:hAnsi="Times New Roman"/>
          <w:sz w:val="20"/>
        </w:rPr>
      </w:pPr>
      <w:r>
        <w:rPr>
          <w:rFonts w:ascii="Times New Roman" w:hAnsi="Times New Roman"/>
          <w:sz w:val="20"/>
        </w:rPr>
        <w:t xml:space="preserve">(v) 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 </w:t>
      </w:r>
    </w:p>
    <w:p>
      <w:pPr>
        <w:pStyle w:val="TextBody"/>
        <w:bidi w:val="0"/>
        <w:spacing w:before="120" w:after="0"/>
        <w:jc w:val="left"/>
        <w:rPr>
          <w:rFonts w:ascii="Times New Roman" w:hAnsi="Times New Roman"/>
          <w:sz w:val="20"/>
        </w:rPr>
      </w:pPr>
      <w:r>
        <w:rPr>
          <w:rFonts w:ascii="Times New Roman" w:hAnsi="Times New Roman"/>
          <w:sz w:val="20"/>
        </w:rPr>
        <w:t xml:space="preserve">(vi) the Place or Places of Payment where such Securities, together in the case of Bearer Securities with all coupons appertaining thereto, if any, maturing after the Redemption Date, must be surrendered to for collection of the payment of the Redemption Price and accrued interest, if any, </w:t>
      </w:r>
    </w:p>
    <w:p>
      <w:pPr>
        <w:pStyle w:val="TextBody"/>
        <w:bidi w:val="0"/>
        <w:spacing w:before="120" w:after="0"/>
        <w:jc w:val="left"/>
        <w:rPr>
          <w:rFonts w:ascii="Times New Roman" w:hAnsi="Times New Roman"/>
          <w:sz w:val="20"/>
        </w:rPr>
      </w:pPr>
      <w:r>
        <w:rPr>
          <w:rFonts w:ascii="Times New Roman" w:hAnsi="Times New Roman"/>
          <w:sz w:val="20"/>
        </w:rPr>
        <w:t xml:space="preserve">(vii) that the redemption is for a sinking fund, if such is the case, </w:t>
      </w:r>
    </w:p>
    <w:p>
      <w:pPr>
        <w:pStyle w:val="TextBody"/>
        <w:bidi w:val="0"/>
        <w:spacing w:before="120" w:after="0"/>
        <w:jc w:val="left"/>
        <w:rPr>
          <w:rFonts w:ascii="Times New Roman" w:hAnsi="Times New Roman"/>
          <w:sz w:val="20"/>
        </w:rPr>
      </w:pPr>
      <w:r>
        <w:rPr>
          <w:rFonts w:ascii="Times New Roman" w:hAnsi="Times New Roman"/>
          <w:sz w:val="20"/>
        </w:rPr>
        <w:t xml:space="preserve">(viii) that, unless otherwise specified in such notice, Bearer Securities of any series, if any, surrendered for redemption must be accompanied by all coupons maturing subsequent to the Redemption Date or the amount of any such missing coupon or coupons will be deducted from the Redemption Price unless security or indemnity satisfactory to the Company, the Trustees and any Paying Agent is furnished, and </w:t>
      </w:r>
    </w:p>
    <w:p>
      <w:pPr>
        <w:pStyle w:val="TextBody"/>
        <w:bidi w:val="0"/>
        <w:spacing w:before="120" w:after="0"/>
        <w:jc w:val="left"/>
        <w:rPr>
          <w:rFonts w:ascii="Times New Roman" w:hAnsi="Times New Roman"/>
          <w:sz w:val="20"/>
        </w:rPr>
      </w:pPr>
      <w:r>
        <w:rPr>
          <w:rFonts w:ascii="Times New Roman" w:hAnsi="Times New Roman"/>
          <w:sz w:val="20"/>
        </w:rPr>
        <w:t xml:space="preserve">(ix) if Bearer Securities of any series are to be redeemed and any Registered Securities of such series are not to be redeemed, and if such Bearer Securities may be exchanged for Registered Securities not subject to redemption on such Redemption Date pursuant to Section 3.05 or otherwise, the last date, as determined by the Company, on which such exchanges may be made.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Securities to be redeemed at the election of the Company shall be given by the Company or, at the Company’s request, by the Trustees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notice of any redemption of the Securities may, at the Company’s discretion, be subject to one or more conditions precedent. If such redemption is so subject to satisfaction of one or more conditions precedent, such notice shall describe each such condition, and if applicable, shall state that, in the Company’s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as so delayed. If any condition precedent has not been satisfied, the Company shall provide written notice to the Trustee at least two Business Days prior to the Redemption Date (unless a shorter notice shall be satisfactory to the Trustee) stating that such condition has not been satisfied, the notice of redemption is rescinded or delayed and the redemption shall not occur or shall be delayed.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11.05 Deposit of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Prior to any Redemption Date, the Company shall deposit with a Trustee or with a Paying Agent (or, if the Company is acting as its own Paying Agent, segregate and hold in trust as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Section 10.03) an amount of money in the Currency in which the Securities of such series are payable (except as otherwise specified pursuant to Section 3.01 for the Securities of such series and except, if applicable, as provided in Sections Section 3.12(b), Section 3.12(d) and Section 3.12(e)) sufficient to pay the Redemption Price of, and accrued interest, if any, on, all the Securities which are to be redeemed on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11.06 Securities Payable on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the last paragraph of Section 11.04, 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Section 3.12(b), Section 3.12(d) and Section 3.12(e)) (together with accrued interest, if any, to the Redemption Date), and from and after such date (unless the Company shall default in the payment of the Redemption Price and accrued interest, if any)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provided further that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 </w:t>
      </w:r>
    </w:p>
    <w:p>
      <w:pPr>
        <w:pStyle w:val="TextBody"/>
        <w:bidi w:val="0"/>
        <w:spacing w:before="240" w:after="0"/>
        <w:jc w:val="left"/>
        <w:rPr>
          <w:rFonts w:ascii="Times New Roman" w:hAnsi="Times New Roman"/>
          <w:sz w:val="20"/>
        </w:rPr>
      </w:pPr>
      <w:r>
        <w:rPr>
          <w:rFonts w:ascii="Times New Roman" w:hAnsi="Times New Roman"/>
          <w:sz w:val="20"/>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Trustees if there be furnished to them such security or indemnity as they may require to save each of them and any Paying Agent harmless. If thereafter the Holder of such Security shall surrender to the Trustees or any Paying Agent any such missing coupon in respect of which a deduction shall have been made from the Redemption Price, such Holder shall be entitled to receive the amount so deducted;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interest represented by coupons shall be payable only at an office or agency located outside the United States (except as otherwise provided in Section 10.02) and, unless otherwise specified as contemplated by Section 3.01, only upon presentation and surrender of those coupons.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such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11.07 Securities Redeemed in Part. </w:t>
      </w:r>
    </w:p>
    <w:p>
      <w:pPr>
        <w:pStyle w:val="TextBody"/>
        <w:bidi w:val="0"/>
        <w:spacing w:before="120" w:after="0"/>
        <w:jc w:val="left"/>
        <w:rPr>
          <w:rFonts w:ascii="Times New Roman" w:hAnsi="Times New Roman"/>
          <w:sz w:val="20"/>
        </w:rPr>
      </w:pPr>
      <w:r>
        <w:rPr>
          <w:rFonts w:ascii="Times New Roman" w:hAnsi="Times New Roman"/>
          <w:sz w:val="20"/>
        </w:rPr>
        <w:t xml:space="preserve">Any Security which is to be redeemed only in part (pursuant to the provisions of this Article or of Article Twelve) shall be surrendered at a Place of Payment therefor (with, if the Company or the Trustees so requires, due endorsement by, or a written instrument of transfer in form satisfactory to the Company and the Trustees duly executed by, the Holder thereof or such Holder’s attorney duly authorized in writing), and the Company shall execute, and either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11.08 Tax Redemption. </w:t>
      </w:r>
    </w:p>
    <w:p>
      <w:pPr>
        <w:pStyle w:val="TextBody"/>
        <w:bidi w:val="0"/>
        <w:spacing w:before="120" w:after="0"/>
        <w:jc w:val="left"/>
        <w:rPr>
          <w:rFonts w:ascii="Times New Roman" w:hAnsi="Times New Roman"/>
          <w:sz w:val="20"/>
        </w:rPr>
      </w:pPr>
      <w:r>
        <w:rPr>
          <w:rFonts w:ascii="Times New Roman" w:hAnsi="Times New Roman"/>
          <w:sz w:val="20"/>
        </w:rPr>
        <w:t xml:space="preserve">If specified pursuant to Section 3.01, the Securities of a series will be subject to redemption at any time, in whole but not in part, at a redemption price equal to the principal amount thereof together with accrued and unpaid interest to the date fixed for redemption, upon the giving of a notice as described below, if (1) the Company determines that (a) as a result of any change in or amendment to the laws (or any regulations or rulings promulgated thereunder) of Canada or of any political subdivision or taxing authority thereof or therein affecting taxation, or any change in position regarding application or interpretation of such laws, regulations or rulings (including a holding by a court of competent jurisdiction), which change or amendment is announced or becomes effective on or after a date specified pursuant to Section 3.01, if any date is so specified, the Company has or will become obligated to pay, on the next succeeding date on which interest is due, Additional Amounts pursuant to Section 10.05 or (b) on or after a date specified pursuant to Section 3.01, any action has been taken by any taxing authority of, or any decision has been rendered by a court of competent jurisdiction in, Canada or any political subdivision or taxing authority thereof or therein, including any of those actions specified in (a) above, whether or not such action was taken or decision was rendered with respect to the Company, or any change, amendment, application or interpretation shall be proposed, which, in any such case, in the opinion of Counsel to the Company, will result in the Company becoming obligated to pay, on the next succeeding date on which interest is due, Additional Amounts with respect to any Security of such series and (2) in any such case, the Company in its business judgment determines that such obligation cannot be avoided by the use of reasonable measures available to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no such notice of redemption may be given earlier than 90 days prior to the earliest date on which the Company would be obligated to pay such Additional Amounts were a payment in respect of the Securities then due, and (ii) at the time such notice of redemption is given, such obligation to pay such Additional Amounts remains in effect.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elects to redeem the Securities pursuant to the provisions set forth in the preceding paragraph, the Company shall deliver to the Trustees a certificate, signed by an authorized officer, stating that the Company is entitled to redeem the Securities pursuant to their terms.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0" w:after="0"/>
        <w:jc w:val="center"/>
        <w:rPr>
          <w:rFonts w:ascii="Times New Roman" w:hAnsi="Times New Roman"/>
          <w:b/>
          <w:sz w:val="20"/>
        </w:rPr>
      </w:pPr>
      <w:r>
        <w:rPr>
          <w:rFonts w:ascii="Times New Roman" w:hAnsi="Times New Roman"/>
          <w:b/>
          <w:sz w:val="20"/>
        </w:rPr>
        <w:t xml:space="preserve">SINKING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12.01 Applicability of Article. </w:t>
      </w:r>
    </w:p>
    <w:p>
      <w:pPr>
        <w:pStyle w:val="TextBody"/>
        <w:bidi w:val="0"/>
        <w:spacing w:before="120" w:after="0"/>
        <w:jc w:val="left"/>
        <w:rPr>
          <w:rFonts w:ascii="Times New Roman" w:hAnsi="Times New Roman"/>
          <w:sz w:val="20"/>
        </w:rPr>
      </w:pPr>
      <w:r>
        <w:rPr>
          <w:rFonts w:ascii="Times New Roman" w:hAnsi="Times New Roman"/>
          <w:sz w:val="20"/>
        </w:rPr>
        <w:t xml:space="preserve">Retirements of Securities of any series pursuant to any sinking fund shall be made in accordance with the terms of such Securities and (except as otherwise specified as contemplated by Section 3.01 for Securities of any series)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12.02 Satisfaction of Sinking Fund Payments with Securities. </w:t>
      </w:r>
    </w:p>
    <w:p>
      <w:pPr>
        <w:pStyle w:val="TextBody"/>
        <w:bidi w:val="0"/>
        <w:spacing w:before="120" w:after="0"/>
        <w:jc w:val="left"/>
        <w:rPr>
          <w:rFonts w:ascii="Times New Roman" w:hAnsi="Times New Roman"/>
          <w:sz w:val="20"/>
        </w:rPr>
      </w:pPr>
      <w:r>
        <w:rPr>
          <w:rFonts w:ascii="Times New Roman" w:hAnsi="Times New Roman"/>
          <w:sz w:val="20"/>
        </w:rPr>
        <w:t xml:space="preserve">Subject to Section 12.03, in lieu of making all or any part of any mandatory sinking fund payment with respect to any Securities of a series in cash, the Company may at its option (1) deliver to the Trustees Outstanding Securities of a series (other than any previously called for redemption) theretofore purchased or otherwise acquired by the Company together in the case of any Bearer Securities of such series with all un-matured coupons appertaining thereto, and/or (2) receive credit for the principal amount of Securities of such series which have been previously delivered to the Trustees by the Company or for Securities of such series which have been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Securities have not been previously so credited. Such Securities shall be received and credited for such purpose by the Trustees at the Redemption Price specified in such Securities for redemption through operation of the sinking fund and the amount of such mandatory sinking fund payment shall be reduced accordingly.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12.03 Redemption of Securities for Sinking Fund. </w:t>
      </w:r>
    </w:p>
    <w:p>
      <w:pPr>
        <w:pStyle w:val="TextBody"/>
        <w:bidi w:val="0"/>
        <w:spacing w:before="120" w:after="0"/>
        <w:jc w:val="left"/>
        <w:rPr>
          <w:rFonts w:ascii="Times New Roman" w:hAnsi="Times New Roman"/>
          <w:sz w:val="20"/>
        </w:rPr>
      </w:pPr>
      <w:r>
        <w:rPr>
          <w:rFonts w:ascii="Times New Roman" w:hAnsi="Times New Roman"/>
          <w:sz w:val="20"/>
        </w:rPr>
        <w:t xml:space="preserve">Not less than 60 days prior to each sinking fund payment date for any series of Securities, the Company will deliver to the Trustees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Section 3.12(b), Section 3.12(d) and Section 3.12(e)) and the portion thereof, 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Not more than 60 days before each such sinking fund payment date the Trustees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Section 11.06 and Section 11.07. </w:t>
      </w:r>
    </w:p>
    <w:p>
      <w:pPr>
        <w:pStyle w:val="TextBody"/>
        <w:bidi w:val="0"/>
        <w:spacing w:before="240" w:after="0"/>
        <w:jc w:val="left"/>
        <w:rPr>
          <w:rFonts w:ascii="Times New Roman" w:hAnsi="Times New Roman"/>
          <w:sz w:val="20"/>
        </w:rPr>
      </w:pPr>
      <w:r>
        <w:rPr>
          <w:rFonts w:ascii="Times New Roman" w:hAnsi="Times New Roman"/>
          <w:sz w:val="20"/>
        </w:rPr>
        <w:t xml:space="preserve">Prior to any sinking fund payment date, the Company shall pay to the Trustees or a Paying Agent (or, if the Company is acting as its own Paying Agent, segregate and hold in trust as provided in Section 10.03) in cash a sum equal to any interest that will accrue to the date fixed for redemption of Securities or portions thereof to be redeemed on such sinking fund payment date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Trustees,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Trustees or any Paying Agent will be reimbursed by the Company) not in excess of the principal amount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0" w:after="0"/>
        <w:jc w:val="center"/>
        <w:rPr>
          <w:rFonts w:ascii="Times New Roman" w:hAnsi="Times New Roman"/>
          <w:b/>
          <w:sz w:val="20"/>
        </w:rPr>
      </w:pPr>
      <w:r>
        <w:rPr>
          <w:rFonts w:ascii="Times New Roman" w:hAnsi="Times New Roman"/>
          <w:b/>
          <w:sz w:val="20"/>
        </w:rPr>
        <w:t xml:space="preserve">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0" w:after="0"/>
        <w:jc w:val="center"/>
        <w:rPr>
          <w:rFonts w:ascii="Times New Roman" w:hAnsi="Times New Roman"/>
          <w:b/>
          <w:sz w:val="20"/>
        </w:rPr>
      </w:pPr>
      <w:r>
        <w:rPr>
          <w:rFonts w:ascii="Times New Roman" w:hAnsi="Times New Roman"/>
          <w:b/>
          <w:sz w:val="20"/>
        </w:rPr>
        <w:t xml:space="preserve">DEFEASANCE AND COVENANT DEFEASANCE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14.01 Company’s Option to Effect Defeasance or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specified as contemplated by Section 3.01 for Securities of any series, the provisions of this Article shall apply to each series of Securities, and the Company may, at its option, effect defeasance (as defined below) of the Securities of or within a series under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14.02, or covenant defeasance (as defined below) of or within a series under Section 14.03 in accordance with the terms of such Securities and in accordance with this Article.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14.02 Defeasance and Discharge. </w:t>
      </w:r>
    </w:p>
    <w:p>
      <w:pPr>
        <w:pStyle w:val="TextBody"/>
        <w:bidi w:val="0"/>
        <w:spacing w:before="120" w:after="0"/>
        <w:jc w:val="left"/>
        <w:rPr>
          <w:rFonts w:ascii="Times New Roman" w:hAnsi="Times New Roman"/>
          <w:sz w:val="20"/>
        </w:rPr>
      </w:pPr>
      <w:r>
        <w:rPr>
          <w:rFonts w:ascii="Times New Roman" w:hAnsi="Times New Roman"/>
          <w:sz w:val="20"/>
        </w:rPr>
        <w:t xml:space="preserve">Upon the Company’s exercise of the above option applicable to this Section with respect to any Securities of or within a series, the Company shall be deemed to have paid and been discharged from its obligations with respect to such Outstanding Securities and any related coupons on the date the conditions set forth in Section 14.04 are satisfied (hereinafter, “defeasance”) on the 91st day after the date of the deposit referred to in Section 14.04(i). For this purpose, such defeasance means that the Company shall be deemed to have paid and discharged the entire indebtedness represented by such Outstanding Securities and any related coupons, which shall thereafter be deemed to be “Outstanding” only for the purposes of Section 14.05 and the other Sections of this Indenture referred to in (A) and (B) below, and to have satisfied all its other obligations under such Securities and any related coupons and this Indenture insofar as such Securities and any related coupons are concerned (and the Trustees, at the expense of the Company, shall execute proper instruments acknowledging the same), except for the following which shall survive until otherwise terminated or discharged hereunder: (A) the rights of Holders of such Outstanding Securities and any related coupons to receive, solely from the trust fund described in Section 14.04 and as more fully set forth in such Section, payments in respect of the principal of (and premium, if any) and interest, if any, on such Securities and any related coupons when such payments are due, (B) the Company’s obligations with respect to such Securities under Sections Section 3.04, Section 3.05, Section 3.06, Section 10.02 and Section 10.03 and with respect to the payment of Additional Amounts, if any, on such Securities as contemplated by Section 10.05, (C) the rights, powers, trusts, duties and immunities of the Trustees hereunder and (D) this Article. Subject to compliance with this Article, the Company may exercise its option under this Section notwithstanding the prior exercise of its option under Section 14.03 with respect to such Securities and any related coupons.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14.03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Upon the Company’s exercise of the above option applicable to this Section with respect to any Securities of or within a series, the Company shall be released from its obligations under Sections Section 10.06 and Section 10.07, and, if specified pursuant to Section 3.01, its obligations under any other covenant, with respect to such Outstanding Securities and any related coupons on and after the date the conditions set forth in Section 14.04 are satisfied (hereinafter, “covenant defeasance”), and such Securities and any related coupons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outstanding Securities and any related coupons,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clauses (4), (5) or (9) of Section 5.01 or otherwise,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may be, but, except as specified above, the remainder of this Indenture and such Securities and any related coupons shall be unaffected thereby.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14.04 Conditions to Defeasance or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shall be the conditions to application of either Section 14.02 or Section 14.03 to any Outstanding Securities of or within a series and any related coupons: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irrevocably have deposited or caused to be deposited with either Trustee (or another trustee satisfying the requirements of Section 6.08 who shall agree to comply with the provisions of this Article applicable to it) as trust funds in trust for the purpose of making the following payments, specifically pledged as security for, and dedicated solely to, the benefit of the Holders of such Securities and any related coupons, (A) an amount (in such Currency in which such Securities and any related coupons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and any related coupons, money in an amount, or (C) a combination thereof, sufficient, in the opinion of a nationally recognized firm of independent public accountants expressed in a written certification thereof delivered to the Trustees, to pay and discharge, and which shall be applied by the Trustees (or other qualifying trustee) to pay and discharge, (i) the principal of (and premium, if any) and interest, if any, on such Outstanding Securities and any related coupons on the Stated Maturity (or Redemption Date, if applicable) of such principal (and premium, if any) or installment of interest, if any, (ii) any mandatory sinking fund payments or analogous payments applicable to such Outstanding Securities and any related coupons on the day on which such payments are due and payable in accordance with the terms of this Indenture and of such Securities and any related coupons, and (iii) all amounts due the Trustees under Section 6.07; </w:t>
      </w:r>
      <w:r>
        <w:rPr>
          <w:rFonts w:ascii="Times New Roman" w:hAnsi="Times New Roman"/>
          <w:sz w:val="20"/>
          <w:u w:val="single"/>
        </w:rPr>
        <w:t>provided</w:t>
      </w:r>
      <w:r>
        <w:rPr>
          <w:rFonts w:ascii="Times New Roman" w:hAnsi="Times New Roman"/>
          <w:sz w:val="20"/>
        </w:rPr>
        <w:t xml:space="preserve"> that the Trustees shall have been irrevocably instructed to apply such money or the proceeds of such Government Obligations to said payments with respect to such Securities and any related coupons. Before such a deposit, the Company may give to the Trustees, in accordance with Section 11.02 hereof, a notice of its election to redeem all or any portion of such Outstanding Securities at a future date in accordance with the terms of the Securities of such series and Article Eleven hereof, which notice shall be irrevocable. Such irrevocable redemption notice, if given, shall be given effect in applying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(ii) No Default or Event of Default with respect to such Securities or any related coupons shall have occurred and be continuing on the date of such deposit or, insofar as clauses (7) and (8) of Section 5.01 are concerned, at any time during the period ending on the 91st day after the date of such deposit (it being understood that this condition shall not be deemed satisfied until the expiration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(iii) Such defeasance or covenant defeasance shall not result in a breach or violation of, or constitute a default under, this Indenture or any other material agreement or instrument to which the Company is a party or by which it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In the case of an election under Section 14.02, the Company shall have delivered to the Trustees an Opinion of Counsel in the United States stating that (x) the Company has received from, or there has been published by, the Internal Revenue Service a ruling, or (y) since the date of execution of this Indenture, there has been a change in the applicable U.S. federal income tax law, in either case to the effect that, and based thereon such opinion shall confirm that, the Holders of such Outstanding Securities and any related coupons will not recognize income, gain or loss for U.S. federal income tax purposes as a result of such defeasance and will be subject to U.S. federal income tax on the same amounts, in the same manner and at the same times as would have been the case if such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an election under Section 14.03, the Company shall have delivered to the Trustees an Opinion of Counsel in the United States to the effect that the Holders of such Outstanding Securities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shall have delivered to the Trustees an Opinion of Counsel in Canada or a ruling from the Canada Revenue Agency to the effect that the Holders of such Outstanding Securities will not recognize income, gain or loss for Canadian federal, provincial or territorial income tax or other tax purposes as a result of such defeasance or covenant defeasance, as applicable, and will be subject to Canadian federal or provincial income tax and other tax on the same amounts, in the same manner and at the same times as would have been the case had such defeasance or covenant defeasance, as applicable, not occurred (and for the purposes of such opinion, such Canadian counsel shall assume that Holders of the Securities include Holders who are not resident in Canada). </w:t>
      </w:r>
    </w:p>
    <w:p>
      <w:pPr>
        <w:pStyle w:val="TextBody"/>
        <w:bidi w:val="0"/>
        <w:spacing w:before="120" w:after="0"/>
        <w:jc w:val="left"/>
        <w:rPr>
          <w:rFonts w:ascii="Times New Roman" w:hAnsi="Times New Roman"/>
          <w:sz w:val="20"/>
        </w:rPr>
      </w:pPr>
      <w:r>
        <w:rPr>
          <w:rFonts w:ascii="Times New Roman" w:hAnsi="Times New Roman"/>
          <w:sz w:val="20"/>
        </w:rPr>
        <w:t xml:space="preserve">(vii) The Company is not an “insolvent person” within the meaning of the Bankruptcy and Insolvency Act (Canada) on the date of such deposit or at any time during the period ending on the 91st day after the date of such deposit (it being understood that this condition shall not be deemed satisfied until the expiration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(viii) Notwithstanding any other provisions of this Section, such defeasance or covenant defeasance shall be effected in compliance with any additional or substitute terms, conditions or limitations in connection therewith pursuant to Section 3.01. </w:t>
      </w:r>
    </w:p>
    <w:p>
      <w:pPr>
        <w:pStyle w:val="TextBody"/>
        <w:bidi w:val="0"/>
        <w:spacing w:before="120" w:after="0"/>
        <w:jc w:val="left"/>
        <w:rPr>
          <w:rFonts w:ascii="Times New Roman" w:hAnsi="Times New Roman"/>
          <w:sz w:val="20"/>
        </w:rPr>
      </w:pPr>
      <w:r>
        <w:rPr>
          <w:rFonts w:ascii="Times New Roman" w:hAnsi="Times New Roman"/>
          <w:sz w:val="20"/>
        </w:rPr>
        <w:t xml:space="preserve">(ix) The Company shall have delivered to the Trustees an Officers’ Certificate and an Opinion of Counsel, each stating that all conditions precedent provided for, relating to either the defeasance under Section 14.02 or the covenant defeasance under Section 14.03 (as the case may be), have been complied with.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14.05 Deposited Money and Government Obligations to Be Held in Trust; Other 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provisions of the last paragraph of Section 10.03, all money and Government Obligations (or other property as may be provided pursuant to Section 3.01) (including the proceeds thereof) deposited with a Trustee (or other qualifying trustee, collectively, for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this Section, the “Trustee”) pursuant to Section 14.04 in respect of such Outstanding Securities and any related coupons shall be held in trust and applied by such Trustee, in accordance with the provisions of such Securities and any related coupons and this Indenture, to the payment, either directly or through any Paying Agent (including the Company acting as its own Paying Agent) as such Trustee may determine, to the Holders of such Securities and any related coupons of all sums due and to become due thereon in respect of principal (and premium, if any) and interest, if any,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with respect to any Security pursuant to Section 3.01, if, after a deposit referred to in Section 14.04(i)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and any related coupons shall be deemed to have been, and will be, fully discharged and satisfied through the payment of the principal of (and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such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related coupons.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to the contrary notwithstanding, such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such Trustee, are in excess of the amount thereof which would then be required to be deposited to effect an equivalent defeasance or covenant defeasance, as applicable,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14.06 Reinstatement. </w:t>
      </w:r>
    </w:p>
    <w:p>
      <w:pPr>
        <w:pStyle w:val="TextBody"/>
        <w:bidi w:val="0"/>
        <w:spacing w:before="120" w:after="0"/>
        <w:jc w:val="left"/>
        <w:rPr>
          <w:rFonts w:ascii="Times New Roman" w:hAnsi="Times New Roman"/>
          <w:sz w:val="20"/>
        </w:rPr>
      </w:pPr>
      <w:r>
        <w:rPr>
          <w:rFonts w:ascii="Times New Roman" w:hAnsi="Times New Roman"/>
          <w:sz w:val="20"/>
        </w:rPr>
        <w:t xml:space="preserve">If a Trustee or any Paying Agent is unable to apply any money in accordance with Section 14.05 by reason of any order or judgment of any court or governmental authority enjoining, restraining or otherwise prohibiting such application, then the Company’s obligations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and such Securities and any related coupons shall be revived and reinstated as though no deposit had occurred pursuant to Section 14.02 or 14.03, as the case may be, until such time as such Trustee or Paying Agent is permitted to apply all such money in accordance with Section 14.05;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makes any payment of principal of (or premium, if any) or interest, if any, on any such Security or any related coupon following the reinstatement of its obligations, the Company shall be subrogated to the rights of the Holders of such Securities and any related coupons to receive such payment from the money held by such Trustee or Paying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15 </w:t>
      </w:r>
    </w:p>
    <w:p>
      <w:pPr>
        <w:pStyle w:val="TextBody"/>
        <w:bidi w:val="0"/>
        <w:spacing w:before="0" w:after="0"/>
        <w:jc w:val="center"/>
        <w:rPr>
          <w:rFonts w:ascii="Times New Roman" w:hAnsi="Times New Roman"/>
          <w:b/>
          <w:sz w:val="20"/>
        </w:rPr>
      </w:pPr>
      <w:r>
        <w:rPr>
          <w:rFonts w:ascii="Times New Roman" w:hAnsi="Times New Roman"/>
          <w:b/>
          <w:sz w:val="20"/>
        </w:rPr>
        <w:t xml:space="preserve">MEETINGS OF HOLDERS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15.01 Purposes for Which Meetings May Be Called. </w:t>
      </w:r>
    </w:p>
    <w:p>
      <w:pPr>
        <w:pStyle w:val="TextBody"/>
        <w:bidi w:val="0"/>
        <w:spacing w:before="120" w:after="0"/>
        <w:jc w:val="left"/>
        <w:rPr>
          <w:rFonts w:ascii="Times New Roman" w:hAnsi="Times New Roman"/>
          <w:sz w:val="20"/>
        </w:rPr>
      </w:pPr>
      <w:r>
        <w:rPr>
          <w:rFonts w:ascii="Times New Roman" w:hAnsi="Times New Roman"/>
          <w:sz w:val="20"/>
        </w:rPr>
        <w:t xml:space="preserve">If Securities of a series are issuable as Bearer Securities, a meeting of Holders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15.02 Call, Notice and Place of Meetings. </w:t>
      </w:r>
    </w:p>
    <w:p>
      <w:pPr>
        <w:pStyle w:val="TextBody"/>
        <w:bidi w:val="0"/>
        <w:spacing w:before="120" w:after="0"/>
        <w:jc w:val="left"/>
        <w:rPr>
          <w:rFonts w:ascii="Times New Roman" w:hAnsi="Times New Roman"/>
          <w:sz w:val="20"/>
        </w:rPr>
      </w:pPr>
      <w:r>
        <w:rPr>
          <w:rFonts w:ascii="Times New Roman" w:hAnsi="Times New Roman"/>
          <w:sz w:val="20"/>
        </w:rPr>
        <w:t xml:space="preserve">(i) The Trustees may at any time call a meeting of Holders of Securities of any series for any purpose specified in Section 15.01, to be held at such time and at such place in the City of New York, in Vancouver or in London as the Trustees shall determine. Notice of every meeting of Holders of Securities of any series, setting forth the time and the place of such meeting and in general terms the action proposed to be taken at such meeting, shall be given, in the manner provided for in Section 1.06, not less than 21 nor more than 180 days prior to the date fixed for the meeting. </w:t>
      </w:r>
    </w:p>
    <w:p>
      <w:pPr>
        <w:pStyle w:val="TextBody"/>
        <w:bidi w:val="0"/>
        <w:spacing w:before="120" w:after="0"/>
        <w:jc w:val="left"/>
        <w:rPr>
          <w:rFonts w:ascii="Times New Roman" w:hAnsi="Times New Roman"/>
          <w:sz w:val="20"/>
        </w:rPr>
      </w:pPr>
      <w:r>
        <w:rPr>
          <w:rFonts w:ascii="Times New Roman" w:hAnsi="Times New Roman"/>
          <w:sz w:val="20"/>
        </w:rPr>
        <w:t xml:space="preserve">(ii) In case at any time the Company, pursuant to a Board Resolution, or the Holders of at least 10% in principal amount of the outstanding Securities of any series shall have requested the Trustees to call a meeting of the Holders of Securities of such series for any purpose specified in Section 15.01, by written request setting forth in reasonable detail the action proposed to be taken at the meeting, and the Trustees shall not have made the first publication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City of New York, in Vancouver or in London for such meeting and may call such meeting for such purposes by giving notice thereof as provided in paragraph (a) of this Section.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15.03 Persons Entitled to Vote and Meetings. </w:t>
      </w:r>
    </w:p>
    <w:p>
      <w:pPr>
        <w:pStyle w:val="TextBody"/>
        <w:bidi w:val="0"/>
        <w:spacing w:before="120" w:after="0"/>
        <w:jc w:val="left"/>
        <w:rPr>
          <w:rFonts w:ascii="Times New Roman" w:hAnsi="Times New Roman"/>
          <w:sz w:val="20"/>
        </w:rPr>
      </w:pPr>
      <w:r>
        <w:rPr>
          <w:rFonts w:ascii="Times New Roman" w:hAnsi="Times New Roman"/>
          <w:sz w:val="20"/>
        </w:rPr>
        <w:t xml:space="preserve">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of Holders. The only Persons who shall be entitled to be present or to speak at any meeting of Holders of Securities of any series shall be the Persons entitled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such meeting and their counsel, any representatives of the Trustees and their counsel and any representatives of the Company and its counsel.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15.04 Quorum; Action. </w:t>
      </w:r>
    </w:p>
    <w:p>
      <w:pPr>
        <w:pStyle w:val="TextBody"/>
        <w:bidi w:val="0"/>
        <w:spacing w:before="120" w:after="0"/>
        <w:jc w:val="left"/>
        <w:rPr>
          <w:rFonts w:ascii="Times New Roman" w:hAnsi="Times New Roman"/>
          <w:sz w:val="20"/>
        </w:rPr>
      </w:pPr>
      <w:r>
        <w:rPr>
          <w:rFonts w:ascii="Times New Roman" w:hAnsi="Times New Roman"/>
          <w:sz w:val="20"/>
        </w:rPr>
        <w:t xml:space="preserve">The Persons entitled to vote a majority in principal amount of the Outstanding Securities of a series shall constitute a quorum for a meeting of Holders of Securities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at the reconvening of any meeting adjourned for lack of a quorum the Persons entitled to vote 25% in principal amount of the Outstanding Securities at the time shall constitute a quorum for the taking of any action set forth in the notice of the original meeting. </w:t>
      </w:r>
    </w:p>
    <w:p>
      <w:pPr>
        <w:pStyle w:val="TextBody"/>
        <w:bidi w:val="0"/>
        <w:spacing w:before="240" w:after="0"/>
        <w:jc w:val="left"/>
        <w:rPr>
          <w:rFonts w:ascii="Times New Roman" w:hAnsi="Times New Roman"/>
          <w:sz w:val="20"/>
        </w:rPr>
      </w:pPr>
      <w:r>
        <w:rPr>
          <w:rFonts w:ascii="Times New Roman" w:hAnsi="Times New Roman"/>
          <w:sz w:val="20"/>
        </w:rPr>
        <w:t xml:space="preserve">Except as limited by the proviso to Section 9.02, any resolution presented to a meeting or adjourned meeting duly reconvened at which a quorum is present as aforesaid may be adopted by the affirmative vote of the Holders of not less than a majority in principal amount of the outstanding Securities of such series who have casted their votes;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not less than such specified percentage in principal amount of the Outstanding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meeting of Holders of Securities of any series duly held in accordance with this Section shall be binding on all the Holders of Securities of such series and the related coupons, whether or not present or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Section, if any action is to be taken at a meeting of Holders of Securities of any series with respect to any request, demand, authorization, direction, notice, consent, waiver or other action that this Indenture expressly provides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made, given or taken by the Holders of a specified percentage in principal amount of all Outstanding Securities affected thereby, or of the Holders of such series and one or more additional series: </w:t>
      </w:r>
    </w:p>
    <w:p>
      <w:pPr>
        <w:pStyle w:val="TextBody"/>
        <w:bidi w:val="0"/>
        <w:spacing w:before="120" w:after="0"/>
        <w:jc w:val="left"/>
        <w:rPr>
          <w:rFonts w:ascii="Times New Roman" w:hAnsi="Times New Roman"/>
          <w:sz w:val="20"/>
        </w:rPr>
      </w:pPr>
      <w:r>
        <w:rPr>
          <w:rFonts w:ascii="Times New Roman" w:hAnsi="Times New Roman"/>
          <w:sz w:val="20"/>
        </w:rPr>
        <w:t xml:space="preserve">(i) there shall be no minimum quorum requirement for such meeting; and </w:t>
      </w:r>
    </w:p>
    <w:p>
      <w:pPr>
        <w:pStyle w:val="TextBody"/>
        <w:bidi w:val="0"/>
        <w:spacing w:before="120" w:after="0"/>
        <w:jc w:val="left"/>
        <w:rPr>
          <w:rFonts w:ascii="Times New Roman" w:hAnsi="Times New Roman"/>
          <w:sz w:val="20"/>
        </w:rPr>
      </w:pPr>
      <w:r>
        <w:rPr>
          <w:rFonts w:ascii="Times New Roman" w:hAnsi="Times New Roman"/>
          <w:sz w:val="20"/>
        </w:rPr>
        <w:t xml:space="preserve">(ii) 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15.05 Determination of Voting Rights; Conduct and Adjournment of Meetings.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 provisions of this Indenture, the Trustees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proxyholder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proxyholders, regular on their face, may be presumed valid and genuine without the proof specified in Section 1.04 or other proof. </w:t>
      </w:r>
    </w:p>
    <w:p>
      <w:pPr>
        <w:pStyle w:val="TextBody"/>
        <w:bidi w:val="0"/>
        <w:spacing w:before="120" w:after="0"/>
        <w:jc w:val="left"/>
        <w:rPr>
          <w:rFonts w:ascii="Times New Roman" w:hAnsi="Times New Roman"/>
          <w:sz w:val="20"/>
        </w:rPr>
      </w:pPr>
      <w:r>
        <w:rPr>
          <w:rFonts w:ascii="Times New Roman" w:hAnsi="Times New Roman"/>
          <w:sz w:val="20"/>
        </w:rPr>
        <w:t xml:space="preserve">(ii) The Trustees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(iii) At any meeting each Holder of a Security of such series or proxy shall be entitled to one vote for each $1,000 principal amount of Outstanding Securities of such series held or represented by him (determined as specified in the definition of “Outstanding” in Section 1.01);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a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15.06</w:t>
      </w:r>
      <w:r>
        <w:rPr>
          <w:rFonts w:ascii="Times New Roman" w:hAnsi="Times New Roman"/>
          <w:sz w:val="20"/>
        </w:rPr>
        <w:t xml:space="preserve"> </w:t>
      </w:r>
      <w:r>
        <w:rPr>
          <w:rFonts w:ascii="Times New Roman" w:hAnsi="Times New Roman"/>
          <w:b/>
          <w:sz w:val="20"/>
        </w:rPr>
        <w:t>Counting Votes and Recording Action of Meetings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if any,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Trustees to be preserved by the Trustees, the latter to have attached thereto the ballots voted at the meeting. Any record so signed and verified shall be conclusive evidence of the matters therein stated.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15.07 Waiver of Jury Trial. </w:t>
      </w:r>
    </w:p>
    <w:p>
      <w:pPr>
        <w:pStyle w:val="TextBody"/>
        <w:bidi w:val="0"/>
        <w:spacing w:before="120" w:after="0"/>
        <w:jc w:val="left"/>
        <w:rPr>
          <w:rFonts w:ascii="Times New Roman" w:hAnsi="Times New Roman"/>
          <w:sz w:val="20"/>
        </w:rPr>
      </w:pPr>
      <w:r>
        <w:rPr>
          <w:rFonts w:ascii="Times New Roman" w:hAnsi="Times New Roman"/>
          <w:sz w:val="20"/>
        </w:rPr>
        <w:t xml:space="preserve">Each of the Company and the Trustee hereby irrevocably waives, to the fullest extent permitted by applicable law, any and all right to trial by jury in any legal proceeding arising out of or relating to this Indenture, the Securities or the transactions contemplated hereby.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15.08 Counterparts. </w:t>
      </w:r>
    </w:p>
    <w:p>
      <w:pPr>
        <w:pStyle w:val="TextBody"/>
        <w:bidi w:val="0"/>
        <w:spacing w:before="120" w:after="0"/>
        <w:jc w:val="left"/>
        <w:rPr>
          <w:rFonts w:ascii="Times New Roman" w:hAnsi="Times New Roman"/>
          <w:sz w:val="20"/>
        </w:rPr>
      </w:pPr>
      <w:r>
        <w:rPr>
          <w:rFonts w:ascii="Times New Roman" w:hAnsi="Times New Roman"/>
          <w:sz w:val="20"/>
        </w:rPr>
        <w:t xml:space="preserve">This Indenture may be executed in any number of counterparts (either by facsimile or by original manual signature), each of which so executed shall be deemed to be an original, but all such counterparts shall together constitute but one and the same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15.09 Force Majeure. </w:t>
      </w:r>
    </w:p>
    <w:p>
      <w:pPr>
        <w:pStyle w:val="TextBody"/>
        <w:bidi w:val="0"/>
        <w:spacing w:before="120" w:after="0"/>
        <w:jc w:val="left"/>
        <w:rPr>
          <w:rFonts w:ascii="Times New Roman" w:hAnsi="Times New Roman"/>
          <w:sz w:val="20"/>
        </w:rPr>
      </w:pPr>
      <w:r>
        <w:rPr>
          <w:rFonts w:ascii="Times New Roman" w:hAnsi="Times New Roman"/>
          <w:sz w:val="20"/>
        </w:rPr>
        <w:t xml:space="preserve">Except for the payment obligations of the Company contained herein, neither the Company nor the Trustees shall be liable to each other, or held in breach of this Indenture, if prevented, hindered, or delayed in the performance or observance of any provision contained herein by reason of act of God, riots, terrorism, acts of war, epidemics, governmental action or judicial order, earthquakes, or any other similar causes (including, but not limited to, mechanical, electronic or communication interruptions, disruptions or failures). Performance times under this Indenture shall be extended for a period of time equivalent to the time lost because of any delay that is excusable under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and their respective corporate seals to be hereunto affixed and attested, all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9"/>
        <w:gridCol w:w="60"/>
        <w:gridCol w:w="3313"/>
      </w:tblGrid>
      <w:tr>
        <w:trPr/>
        <w:tc>
          <w:tcPr>
            <w:tcW w:w="7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EUPRAXIA PHARMACEUTICALS INC.</w:t>
            </w:r>
          </w:p>
        </w:tc>
      </w:tr>
      <w:tr>
        <w:trPr>
          <w:trHeight w:val="24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405"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 as U.S. Trustee</w:t>
            </w:r>
          </w:p>
        </w:tc>
      </w:tr>
      <w:tr>
        <w:trPr>
          <w:trHeight w:val="24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24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405"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left"/>
              <w:rPr>
                <w:rFonts w:ascii="Times New Roman" w:hAnsi="Times New Roman"/>
                <w:sz w:val="20"/>
              </w:rPr>
            </w:pPr>
            <w:r>
              <w:rPr>
                <w:rFonts w:ascii="Times New Roman" w:hAnsi="Times New Roman"/>
                <w:sz w:val="20"/>
              </w:rPr>
              <w:t>[], as Canadian Trustee</w:t>
            </w:r>
          </w:p>
        </w:tc>
      </w:tr>
      <w:tr>
        <w:trPr>
          <w:trHeight w:val="24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r>
        <w:trPr>
          <w:trHeight w:val="12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bidi w:val="0"/>
              <w:spacing w:before="0" w:after="283"/>
              <w:jc w:val="left"/>
              <w:rPr/>
            </w:pPr>
            <w:r>
              <w:rPr/>
              <w:t>Authorized Signing Officer</w:t>
            </w:r>
          </w:p>
        </w:tc>
      </w:tr>
      <w:tr>
        <w:trPr>
          <w:trHeight w:val="240" w:hRule="atLeast"/>
        </w:trPr>
        <w:tc>
          <w:tcPr>
            <w:tcW w:w="709" w:type="dxa"/>
            <w:tcBorders/>
            <w:vAlign w:val="center"/>
          </w:tcPr>
          <w:p>
            <w:pPr>
              <w:pStyle w:val="TableContents"/>
              <w:bidi w:val="0"/>
              <w:spacing w:before="0" w:after="283"/>
              <w:jc w:val="left"/>
              <w:rPr>
                <w:sz w:val="4"/>
                <w:szCs w:val="4"/>
              </w:rPr>
            </w:pPr>
            <w:r>
              <w:rPr>
                <w:sz w:val="4"/>
                <w:szCs w:val="4"/>
              </w:rPr>
            </w:r>
          </w:p>
        </w:tc>
        <w:tc>
          <w:tcPr>
            <w:tcW w:w="3373" w:type="dxa"/>
            <w:gridSpan w:val="2"/>
            <w:tcBorders/>
            <w:vAlign w:val="center"/>
          </w:tcPr>
          <w:p>
            <w:pPr>
              <w:pStyle w:val="TableContents"/>
              <w:bidi w:val="0"/>
              <w:spacing w:before="0" w:after="283"/>
              <w:jc w:val="left"/>
              <w:rPr>
                <w:sz w:val="4"/>
                <w:szCs w:val="4"/>
              </w:rPr>
            </w:pPr>
            <w:r>
              <w:rPr>
                <w:sz w:val="4"/>
                <w:szCs w:val="4"/>
              </w:rPr>
            </w:r>
          </w:p>
        </w:tc>
      </w:tr>
      <w:tr>
        <w:trPr/>
        <w:tc>
          <w:tcPr>
            <w:tcW w:w="70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3"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702"/>
        <w:gridCol w:w="60"/>
        <w:gridCol w:w="3320"/>
      </w:tblGrid>
      <w:tr>
        <w:trPr/>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pBdr>
                <w:bottom w:val="single" w:sz="2" w:space="1" w:color="000000"/>
              </w:pBdr>
              <w:bidi w:val="0"/>
              <w:spacing w:before="0" w:after="20"/>
              <w:jc w:val="left"/>
              <w:rPr/>
            </w:pPr>
            <w:r>
              <w:rPr/>
              <w:t> </w:t>
            </w:r>
          </w:p>
        </w:tc>
      </w:tr>
      <w:tr>
        <w:trPr>
          <w:trHeight w:val="120" w:hRule="atLeast"/>
        </w:trPr>
        <w:tc>
          <w:tcPr>
            <w:tcW w:w="702" w:type="dxa"/>
            <w:tcBorders/>
            <w:vAlign w:val="center"/>
          </w:tcPr>
          <w:p>
            <w:pPr>
              <w:pStyle w:val="TableContents"/>
              <w:bidi w:val="0"/>
              <w:spacing w:before="0" w:after="283"/>
              <w:jc w:val="left"/>
              <w:rPr>
                <w:sz w:val="4"/>
                <w:szCs w:val="4"/>
              </w:rPr>
            </w:pPr>
            <w:r>
              <w:rPr>
                <w:sz w:val="4"/>
                <w:szCs w:val="4"/>
              </w:rPr>
            </w:r>
          </w:p>
        </w:tc>
        <w:tc>
          <w:tcPr>
            <w:tcW w:w="3380" w:type="dxa"/>
            <w:gridSpan w:val="2"/>
            <w:tcBorders/>
            <w:vAlign w:val="center"/>
          </w:tcPr>
          <w:p>
            <w:pPr>
              <w:pStyle w:val="TableContents"/>
              <w:bidi w:val="0"/>
              <w:spacing w:before="0" w:after="283"/>
              <w:jc w:val="left"/>
              <w:rPr>
                <w:sz w:val="4"/>
                <w:szCs w:val="4"/>
              </w:rPr>
            </w:pPr>
            <w:r>
              <w:rPr>
                <w:sz w:val="4"/>
                <w:szCs w:val="4"/>
              </w:rPr>
            </w:r>
          </w:p>
        </w:tc>
      </w:tr>
      <w:tr>
        <w:trPr/>
        <w:tc>
          <w:tcPr>
            <w:tcW w:w="70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0" w:type="dxa"/>
            <w:tcBorders/>
          </w:tcPr>
          <w:p>
            <w:pPr>
              <w:pStyle w:val="TableContents"/>
              <w:bidi w:val="0"/>
              <w:spacing w:before="0" w:after="283"/>
              <w:jc w:val="left"/>
              <w:rPr/>
            </w:pPr>
            <w:r>
              <w:rPr/>
              <w:t>Authorized Signing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FORMS OF CERTIFICATION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A-1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TO BE GIVEN BY </w:t>
      </w:r>
    </w:p>
    <w:p>
      <w:pPr>
        <w:pStyle w:val="TextBody"/>
        <w:bidi w:val="0"/>
        <w:spacing w:before="0" w:after="0"/>
        <w:jc w:val="center"/>
        <w:rPr>
          <w:rFonts w:ascii="Times New Roman" w:hAnsi="Times New Roman"/>
          <w:sz w:val="20"/>
        </w:rPr>
      </w:pPr>
      <w:r>
        <w:rPr>
          <w:rFonts w:ascii="Times New Roman" w:hAnsi="Times New Roman"/>
          <w:sz w:val="20"/>
        </w:rPr>
        <w:t xml:space="preserve">PERSON ENTITLED TO RECEIVE BEARER SECURITY </w:t>
      </w:r>
    </w:p>
    <w:p>
      <w:pPr>
        <w:pStyle w:val="TextBody"/>
        <w:bidi w:val="0"/>
        <w:spacing w:before="0" w:after="0"/>
        <w:jc w:val="center"/>
        <w:rPr>
          <w:rFonts w:ascii="Times New Roman" w:hAnsi="Times New Roman"/>
          <w:sz w:val="20"/>
        </w:rPr>
      </w:pPr>
      <w:r>
        <w:rPr>
          <w:rFonts w:ascii="Times New Roman" w:hAnsi="Times New Roman"/>
          <w:sz w:val="20"/>
        </w:rPr>
        <w:t xml:space="preserve">OR TO OBTAIN INTEREST PAYABLE PRIOR </w:t>
      </w:r>
    </w:p>
    <w:p>
      <w:pPr>
        <w:pStyle w:val="TextBody"/>
        <w:bidi w:val="0"/>
        <w:spacing w:before="0" w:after="0"/>
        <w:jc w:val="center"/>
        <w:rPr>
          <w:rFonts w:ascii="Times New Roman" w:hAnsi="Times New Roman"/>
          <w:sz w:val="20"/>
        </w:rPr>
      </w:pPr>
      <w:r>
        <w:rPr>
          <w:rFonts w:ascii="Times New Roman" w:hAnsi="Times New Roman"/>
          <w:sz w:val="20"/>
        </w:rPr>
        <w:t xml:space="preserve">TO THE EXCHANGE DATE </w:t>
      </w:r>
    </w:p>
    <w:p>
      <w:pPr>
        <w:pStyle w:val="TextBody"/>
        <w:bidi w:val="0"/>
        <w:spacing w:before="240" w:after="0"/>
        <w:jc w:val="center"/>
        <w:rPr>
          <w:rFonts w:ascii="Times New Roman" w:hAnsi="Times New Roman"/>
          <w:sz w:val="20"/>
        </w:rPr>
      </w:pPr>
      <w:r>
        <w:rPr>
          <w:rFonts w:ascii="Times New Roman" w:hAnsi="Times New Roman"/>
          <w:sz w:val="20"/>
        </w:rPr>
        <w:t xml:space="preserve">CERTIFICATE </w:t>
      </w:r>
    </w:p>
    <w:p>
      <w:pPr>
        <w:pStyle w:val="TextBody"/>
        <w:bidi w:val="0"/>
        <w:spacing w:before="240" w:after="0"/>
        <w:jc w:val="center"/>
        <w:rPr>
          <w:rFonts w:ascii="Times New Roman" w:hAnsi="Times New Roman"/>
          <w:sz w:val="20"/>
        </w:rPr>
      </w:pPr>
      <w:r>
        <w:rPr>
          <w:rFonts w:ascii="Times New Roman" w:hAnsi="Times New Roman"/>
          <w:sz w:val="20"/>
        </w:rPr>
        <w:t xml:space="preserve">EUPRAXIA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 Notes due 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This is to certify that as of the date hereof, and except as set forth below, the above-captioned Securities held by you for our account (i) are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Treasury Regulations to be treated as a United States person (“United States persons(s)”), (ii) are owned by United States person(s) that are (a) foreign branches of United States financial institutions (financial institutions, as defined in United States. Treasury Regulation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Eupraxia Pharmaceuticals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“United States” means the United States of America (including the states and the District of Columbia); and its “possessions” include Puerto Rico, the U.S. Virgin Islands, Guam, American Samoa, Wake Island and the Northern Mariana Islands. </w:t>
      </w:r>
    </w:p>
    <w:p>
      <w:pPr>
        <w:pStyle w:val="TextBody"/>
        <w:bidi w:val="0"/>
        <w:spacing w:before="240" w:after="0"/>
        <w:jc w:val="left"/>
        <w:rPr>
          <w:rFonts w:ascii="Times New Roman" w:hAnsi="Times New Roman"/>
          <w:sz w:val="20"/>
        </w:rPr>
      </w:pPr>
      <w:r>
        <w:rPr>
          <w:rFonts w:ascii="Times New Roman" w:hAnsi="Times New Roman"/>
          <w:sz w:val="20"/>
        </w:rPr>
        <w:t xml:space="preserve">We undertake to advise you promptly by tested telex on or prior to the date on which you intend to submit your certification relating to the above-captioned Securities held by you for our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 in accordance with your operating procedures if any applicable statement herein is not correct on such date, and in the absence of any such notification it may be assumed that this certification applies as of such date. </w:t>
      </w:r>
    </w:p>
    <w:p>
      <w:pPr>
        <w:pStyle w:val="TextBody"/>
        <w:bidi w:val="0"/>
        <w:spacing w:before="240" w:after="0"/>
        <w:jc w:val="left"/>
        <w:rPr>
          <w:rFonts w:ascii="Times New Roman" w:hAnsi="Times New Roman"/>
          <w:sz w:val="20"/>
        </w:rPr>
      </w:pPr>
      <w:r>
        <w:rPr>
          <w:rFonts w:ascii="Times New Roman" w:hAnsi="Times New Roman"/>
          <w:sz w:val="20"/>
        </w:rPr>
        <w:t>This certificate excepts and does not relate to U.S. $</w:t>
      </w:r>
      <w:r>
        <w:rPr>
          <w:rFonts w:ascii="Times New Roman" w:hAnsi="Times New Roman"/>
          <w:sz w:val="20"/>
          <w:u w:val="single"/>
        </w:rPr>
        <w:t>    </w:t>
      </w:r>
      <w:r>
        <w:rPr>
          <w:rFonts w:ascii="Times New Roman" w:hAnsi="Times New Roman"/>
          <w:sz w:val="20"/>
        </w:rPr>
        <w:t xml:space="preserve">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Dated: </w:t>
            </w:r>
            <w:r>
              <w:rPr>
                <w:u w:val="single"/>
              </w:rPr>
              <w:t xml:space="preserve">               </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[To be dated no earlier than the 15th day prior to (i) the Exchange Date or (ii) the relevant Interest Payment Date occurring prior to the Exchange Date, as applicable]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u w:val="single"/>
              </w:rPr>
            </w:pPr>
            <w:r>
              <w:rPr>
                <w:u w:val="single"/>
              </w:rPr>
              <w:t>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[Name of Person Making Certification]</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By: </w:t>
            </w:r>
            <w:r>
              <w:rPr>
                <w:u w:val="single"/>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73"/>
        <w:gridCol w:w="60"/>
        <w:gridCol w:w="3349"/>
      </w:tblGrid>
      <w:tr>
        <w:trPr/>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u w:val="single"/>
              </w:rPr>
            </w:pPr>
            <w:r>
              <w:rPr>
                <w:u w:val="single"/>
              </w:rPr>
              <w:t>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64"/>
        <w:gridCol w:w="62"/>
        <w:gridCol w:w="3456"/>
      </w:tblGrid>
      <w:tr>
        <w:trPr/>
        <w:tc>
          <w:tcPr>
            <w:tcW w:w="564"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456" w:type="dxa"/>
            <w:tcBorders/>
            <w:vAlign w:val="center"/>
          </w:tcPr>
          <w:p>
            <w:pPr>
              <w:pStyle w:val="TableContents"/>
              <w:bidi w:val="0"/>
              <w:spacing w:before="0" w:after="283"/>
              <w:jc w:val="left"/>
              <w:rPr>
                <w:sz w:val="4"/>
                <w:szCs w:val="4"/>
              </w:rPr>
            </w:pPr>
            <w:r>
              <w:rPr>
                <w:sz w:val="4"/>
                <w:szCs w:val="4"/>
              </w:rPr>
            </w:r>
          </w:p>
        </w:tc>
      </w:tr>
      <w:tr>
        <w:trPr/>
        <w:tc>
          <w:tcPr>
            <w:tcW w:w="564" w:type="dxa"/>
            <w:tcBorders/>
            <w:vAlign w:val="bottom"/>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456" w:type="dxa"/>
            <w:tcBorders/>
            <w:vAlign w:val="bottom"/>
          </w:tcPr>
          <w:p>
            <w:pPr>
              <w:pStyle w:val="TableContents"/>
              <w:bidi w:val="0"/>
              <w:spacing w:before="0" w:after="283"/>
              <w:jc w:val="left"/>
              <w:rPr>
                <w:u w:val="single"/>
              </w:rPr>
            </w:pP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EXHIBIT A-2 </w:t>
      </w:r>
    </w:p>
    <w:p>
      <w:pPr>
        <w:pStyle w:val="TextBody"/>
        <w:bidi w:val="0"/>
        <w:spacing w:before="240" w:after="0"/>
        <w:jc w:val="center"/>
        <w:rPr>
          <w:rFonts w:ascii="Times New Roman" w:hAnsi="Times New Roman"/>
          <w:sz w:val="20"/>
        </w:rPr>
      </w:pPr>
      <w:r>
        <w:rPr>
          <w:rFonts w:ascii="Times New Roman" w:hAnsi="Times New Roman"/>
          <w:sz w:val="20"/>
        </w:rPr>
        <w:t xml:space="preserve">FORM OF CERTIFICATE TO BE GIVEN BY EUROCLEAR AND CLEARSTREAM </w:t>
      </w:r>
    </w:p>
    <w:p>
      <w:pPr>
        <w:pStyle w:val="TextBody"/>
        <w:bidi w:val="0"/>
        <w:spacing w:before="0" w:after="0"/>
        <w:jc w:val="center"/>
        <w:rPr>
          <w:rFonts w:ascii="Times New Roman" w:hAnsi="Times New Roman"/>
          <w:sz w:val="20"/>
        </w:rPr>
      </w:pPr>
      <w:r>
        <w:rPr>
          <w:rFonts w:ascii="Times New Roman" w:hAnsi="Times New Roman"/>
          <w:sz w:val="20"/>
        </w:rPr>
        <w:t xml:space="preserve">IN CONNECTION WITH THE EXCHANGE OF A PORTION OF A </w:t>
      </w:r>
    </w:p>
    <w:p>
      <w:pPr>
        <w:pStyle w:val="TextBody"/>
        <w:bidi w:val="0"/>
        <w:spacing w:before="0" w:after="0"/>
        <w:jc w:val="center"/>
        <w:rPr>
          <w:rFonts w:ascii="Times New Roman" w:hAnsi="Times New Roman"/>
          <w:sz w:val="20"/>
        </w:rPr>
      </w:pPr>
      <w:r>
        <w:rPr>
          <w:rFonts w:ascii="Times New Roman" w:hAnsi="Times New Roman"/>
          <w:sz w:val="20"/>
        </w:rPr>
        <w:t xml:space="preserve">TEMPORARY GLOBAL SECURITY OR TO OBTAIN INTEREST </w:t>
      </w:r>
    </w:p>
    <w:p>
      <w:pPr>
        <w:pStyle w:val="TextBody"/>
        <w:bidi w:val="0"/>
        <w:spacing w:before="0" w:after="0"/>
        <w:jc w:val="center"/>
        <w:rPr>
          <w:rFonts w:ascii="Times New Roman" w:hAnsi="Times New Roman"/>
          <w:sz w:val="20"/>
        </w:rPr>
      </w:pPr>
      <w:r>
        <w:rPr>
          <w:rFonts w:ascii="Times New Roman" w:hAnsi="Times New Roman"/>
          <w:sz w:val="20"/>
        </w:rPr>
        <w:t xml:space="preserve">PAYABLE PRIOR TO THE EXCHANGE DATE </w:t>
      </w:r>
    </w:p>
    <w:p>
      <w:pPr>
        <w:pStyle w:val="TextBody"/>
        <w:bidi w:val="0"/>
        <w:spacing w:before="240" w:after="0"/>
        <w:jc w:val="center"/>
        <w:rPr>
          <w:rFonts w:ascii="Times New Roman" w:hAnsi="Times New Roman"/>
          <w:sz w:val="20"/>
        </w:rPr>
      </w:pPr>
      <w:r>
        <w:rPr>
          <w:rFonts w:ascii="Times New Roman" w:hAnsi="Times New Roman"/>
          <w:sz w:val="20"/>
        </w:rPr>
        <w:t xml:space="preserve">CERTIFICATE EUPRAXIA 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 Notes due 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This is to certify that based solely on written certifications that we have receive in writing, by tested telex or by electronic transmission from each of the persons appearing in our records as persons entitled to a portion of the principal amount set forth below (our “Member Organizations”) substantially in the form attached hereto, as of the date hereof, U.S. $</w:t>
      </w:r>
      <w:r>
        <w:rPr>
          <w:rFonts w:ascii="Times New Roman" w:hAnsi="Times New Roman"/>
          <w:sz w:val="20"/>
          <w:u w:val="single"/>
        </w:rPr>
        <w:t>    </w:t>
      </w:r>
      <w:r>
        <w:rPr>
          <w:rFonts w:ascii="Times New Roman" w:hAnsi="Times New Roman"/>
          <w:sz w:val="20"/>
        </w:rPr>
        <w:t xml:space="preserve"> principal amount of the above-captioned Securities (i) is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Treasury Regulations to be treated as a United States person (“United States person(s)”), (ii) is owned by United States person(s) that are (a) foreign branches of United States financial institutions (financial institutions, as defined in U.S. Treasury Regulation Section 1.165-12(c)(1)(v)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Eupraxia Pharmaceuticals Inc. or its agent that such financial institution will comply with the requirements of Section 165(j)(3)(A), (B) or (C) of the Internal Revenue Code of 1986, as amended, and the regulations thereunder), or (iii) is owned by United States or foreign financial institution(s) for purposes of resale during the restricted period (as defined in United States Treasury Regulation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“United States” means the United States of America (including the states and the District of Columbia); and its “possessions” include Puerto Rico, the U.S. Virgin Islands, Guam, American Samoa, Wake Island and the Northern Mariana Islands. </w:t>
      </w:r>
    </w:p>
    <w:p>
      <w:pPr>
        <w:pStyle w:val="TextBody"/>
        <w:bidi w:val="0"/>
        <w:spacing w:before="240" w:after="0"/>
        <w:jc w:val="left"/>
        <w:rPr>
          <w:rFonts w:ascii="Times New Roman" w:hAnsi="Times New Roman"/>
          <w:sz w:val="20"/>
        </w:rPr>
      </w:pPr>
      <w:r>
        <w:rPr>
          <w:rFonts w:ascii="Times New Roman" w:hAnsi="Times New Roman"/>
          <w:sz w:val="20"/>
        </w:rPr>
        <w:t xml:space="preserve">We further certify that (i) we are not making available herewith for exchange (or, if relevant, collection of any interest) any portion of the temporary global Security representing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Dated: _________________________________</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[To be dated no earlier than the 15th day prior to (i) the Exchange Date or (ii) the relevant Interest Payment Date occurring prior to the Exchange Date, as applicable]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[MORGAN GUARANTY TRUST COMPANY OF NEW YORK, BRUSSELS OFFICE, as Operator of the Euroclear System]</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[CLEARSTREAM BANKING]</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By: _____________________________________</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Name: ___________________________________</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Title: _____________________________________</w:t>
            </w:r>
          </w:p>
        </w:tc>
      </w:tr>
    </w:tbl>
    <w:p>
      <w:pPr>
        <w:pStyle w:val="Normal"/>
        <w:bidi w:val="0"/>
        <w:spacing w:before="0" w:after="0"/>
        <w:jc w:val="left"/>
        <w:rPr>
          <w:sz w:val="4"/>
          <w:szCs w:val="4"/>
        </w:rPr>
      </w:pPr>
      <w:r>
        <w:rPr>
          <w:sz w:val="4"/>
          <w:szCs w:val="4"/>
        </w:rPr>
      </w:r>
      <w:bookmarkStart w:id="36" w:name="d142683dexfilingfees.htm"/>
      <w:bookmarkStart w:id="37" w:name="ksd142683dexfilingfees"/>
      <w:bookmarkStart w:id="38" w:name="d142683dexfilingfees.htm"/>
      <w:bookmarkStart w:id="39" w:name="ksd142683dexfilingfees"/>
      <w:bookmarkEnd w:id="38"/>
      <w:bookmarkEnd w:id="39"/>
      <w:r>
        <w:br w:type="page"/>
      </w:r>
    </w:p>
    <w:tbl>
      <w:tblPr>
        <w:tblW w:w="4805" w:type="dxa"/>
        <w:jc w:val="left"/>
        <w:tblInd w:w="0" w:type="dxa"/>
        <w:tblLayout w:type="fixed"/>
        <w:tblCellMar>
          <w:top w:w="28" w:type="dxa"/>
          <w:left w:w="28" w:type="dxa"/>
          <w:bottom w:w="28" w:type="dxa"/>
          <w:right w:w="28" w:type="dxa"/>
        </w:tblCellMar>
      </w:tblPr>
      <w:tblGrid>
        <w:gridCol w:w="4651"/>
        <w:gridCol w:w="154"/>
      </w:tblGrid>
      <w:tr>
        <w:trPr/>
        <w:tc>
          <w:tcPr>
            <w:tcW w:w="480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651" w:type="dxa"/>
            <w:tcBorders/>
            <w:vAlign w:val="center"/>
          </w:tcPr>
          <w:p>
            <w:pPr>
              <w:pStyle w:val="TableContents"/>
              <w:bidi w:val="0"/>
              <w:spacing w:before="0" w:after="283"/>
              <w:jc w:val="left"/>
              <w:rPr>
                <w:b/>
              </w:rPr>
            </w:pPr>
            <w:r>
              <w:rPr>
                <w:b/>
              </w:rPr>
              <w:t xml:space="preserve">F-10 </w:t>
            </w:r>
          </w:p>
        </w:tc>
        <w:tc>
          <w:tcPr>
            <w:tcW w:w="154" w:type="dxa"/>
            <w:tcBorders/>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283"/>
              <w:jc w:val="left"/>
              <w:rPr>
                <w:b/>
              </w:rPr>
            </w:pPr>
            <w:r>
              <w:rPr>
                <w:b/>
              </w:rPr>
              <w:t xml:space="preserve">EUPRAXIA PHARMACEUTICALS INC. </w:t>
            </w:r>
          </w:p>
        </w:tc>
        <w:tc>
          <w:tcPr>
            <w:tcW w:w="154" w:type="dxa"/>
            <w:tcBorders/>
          </w:tcPr>
          <w:p>
            <w:pPr>
              <w:pStyle w:val="TableContents"/>
              <w:bidi w:val="0"/>
              <w:spacing w:before="0" w:after="283"/>
              <w:jc w:val="left"/>
              <w:rPr>
                <w:sz w:val="4"/>
                <w:szCs w:val="4"/>
              </w:rPr>
            </w:pPr>
            <w:r>
              <w:rPr>
                <w:sz w:val="4"/>
                <w:szCs w:val="4"/>
              </w:rPr>
            </w:r>
          </w:p>
        </w:tc>
      </w:tr>
    </w:tbl>
    <w:tbl>
      <w:tblPr>
        <w:tblW w:w="5852" w:type="dxa"/>
        <w:jc w:val="left"/>
        <w:tblInd w:w="0" w:type="dxa"/>
        <w:tblLayout w:type="fixed"/>
        <w:tblCellMar>
          <w:top w:w="28" w:type="dxa"/>
          <w:left w:w="28" w:type="dxa"/>
          <w:bottom w:w="28" w:type="dxa"/>
          <w:right w:w="28" w:type="dxa"/>
        </w:tblCellMar>
      </w:tblPr>
      <w:tblGrid>
        <w:gridCol w:w="3901"/>
        <w:gridCol w:w="1951"/>
      </w:tblGrid>
      <w:tr>
        <w:trPr/>
        <w:tc>
          <w:tcPr>
            <w:tcW w:w="3901" w:type="dxa"/>
            <w:tcBorders/>
            <w:vAlign w:val="center"/>
          </w:tcPr>
          <w:p>
            <w:pPr>
              <w:pStyle w:val="TableHeading"/>
              <w:bidi w:val="0"/>
              <w:spacing w:before="0" w:after="283"/>
              <w:jc w:val="left"/>
              <w:rPr/>
            </w:pPr>
            <w:r>
              <w:rPr>
                <w:b/>
              </w:rPr>
              <w:t>Table 1: Newly Registered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15"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1126"/>
        <w:gridCol w:w="1396"/>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 or Instruction</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center"/>
              <w:rPr/>
            </w:pPr>
            <w:r>
              <w:rPr/>
              <w:t xml:space="preserve">Equity </w:t>
            </w:r>
          </w:p>
        </w:tc>
        <w:tc>
          <w:tcPr>
            <w:tcW w:w="1291" w:type="dxa"/>
            <w:tcBorders/>
            <w:shd w:fill="E7E7E2" w:val="clear"/>
            <w:vAlign w:val="center"/>
          </w:tcPr>
          <w:p>
            <w:pPr>
              <w:pStyle w:val="TableContents"/>
              <w:bidi w:val="0"/>
              <w:spacing w:before="0" w:after="283"/>
              <w:jc w:val="center"/>
              <w:rPr/>
            </w:pPr>
            <w:r>
              <w:rPr/>
              <w:t xml:space="preserve">Common shares, without par value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center"/>
              <w:rPr/>
            </w:pPr>
            <w:r>
              <w:rPr/>
              <w:t xml:space="preserve">Equity </w:t>
            </w:r>
          </w:p>
        </w:tc>
        <w:tc>
          <w:tcPr>
            <w:tcW w:w="1291" w:type="dxa"/>
            <w:tcBorders/>
            <w:shd w:fill="E7E7E2" w:val="clear"/>
            <w:vAlign w:val="center"/>
          </w:tcPr>
          <w:p>
            <w:pPr>
              <w:pStyle w:val="TableContents"/>
              <w:bidi w:val="0"/>
              <w:spacing w:before="0" w:after="283"/>
              <w:jc w:val="center"/>
              <w:rPr/>
            </w:pPr>
            <w:r>
              <w:rPr/>
              <w:t xml:space="preserve">Preferred shares, without par value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center"/>
              <w:rPr/>
            </w:pPr>
            <w:r>
              <w:rPr/>
              <w:t xml:space="preserve">Debt </w:t>
            </w:r>
          </w:p>
        </w:tc>
        <w:tc>
          <w:tcPr>
            <w:tcW w:w="1291" w:type="dxa"/>
            <w:tcBorders/>
            <w:shd w:fill="E7E7E2" w:val="clear"/>
            <w:vAlign w:val="center"/>
          </w:tcPr>
          <w:p>
            <w:pPr>
              <w:pStyle w:val="TableContents"/>
              <w:bidi w:val="0"/>
              <w:spacing w:before="0" w:after="283"/>
              <w:jc w:val="center"/>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center"/>
              <w:rPr/>
            </w:pPr>
            <w:r>
              <w:rPr/>
              <w:t xml:space="preserve">Other </w:t>
            </w:r>
          </w:p>
        </w:tc>
        <w:tc>
          <w:tcPr>
            <w:tcW w:w="1291" w:type="dxa"/>
            <w:tcBorders/>
            <w:shd w:fill="E7E7E2" w:val="clear"/>
            <w:vAlign w:val="center"/>
          </w:tcPr>
          <w:p>
            <w:pPr>
              <w:pStyle w:val="TableContents"/>
              <w:bidi w:val="0"/>
              <w:spacing w:before="0" w:after="283"/>
              <w:jc w:val="center"/>
              <w:rPr/>
            </w:pPr>
            <w:r>
              <w:rPr/>
              <w:t xml:space="preserve">Subscription receipts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center"/>
              <w:rPr/>
            </w:pPr>
            <w:r>
              <w:rPr/>
              <w:t xml:space="preserve">Other </w:t>
            </w:r>
          </w:p>
        </w:tc>
        <w:tc>
          <w:tcPr>
            <w:tcW w:w="1291" w:type="dxa"/>
            <w:tcBorders/>
            <w:shd w:fill="E7E7E2" w:val="clear"/>
            <w:vAlign w:val="center"/>
          </w:tcPr>
          <w:p>
            <w:pPr>
              <w:pStyle w:val="TableContents"/>
              <w:bidi w:val="0"/>
              <w:spacing w:before="0" w:after="283"/>
              <w:jc w:val="center"/>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center"/>
              <w:rPr/>
            </w:pPr>
            <w:r>
              <w:rPr/>
              <w:t xml:space="preserve">Other </w:t>
            </w:r>
          </w:p>
        </w:tc>
        <w:tc>
          <w:tcPr>
            <w:tcW w:w="1291" w:type="dxa"/>
            <w:tcBorders/>
            <w:shd w:fill="E7E7E2" w:val="clear"/>
            <w:vAlign w:val="center"/>
          </w:tcPr>
          <w:p>
            <w:pPr>
              <w:pStyle w:val="TableContents"/>
              <w:bidi w:val="0"/>
              <w:spacing w:before="0" w:after="283"/>
              <w:jc w:val="center"/>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center"/>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center"/>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$ 41,430.00 </w:t>
            </w:r>
          </w:p>
        </w:tc>
      </w:tr>
      <w:tr>
        <w:trPr/>
        <w:tc>
          <w:tcPr>
            <w:tcW w:w="1126" w:type="dxa"/>
            <w:tcBorders/>
            <w:shd w:fill="E7E7E2" w:val="clear"/>
            <w:vAlign w:val="center"/>
          </w:tcPr>
          <w:p>
            <w:pPr>
              <w:pStyle w:val="TableContents"/>
              <w:bidi w:val="0"/>
              <w:spacing w:before="0" w:after="283"/>
              <w:jc w:val="center"/>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96"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0" w:name="MaxAggtOfferingPrice"/>
            <w:bookmarkEnd w:id="40"/>
            <w:r>
              <w:rPr/>
              <w:t xml:space="preserve">$ 300,000,000.00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1" w:name="TotalFeeAmt"/>
            <w:bookmarkEnd w:id="41"/>
            <w:r>
              <w:rPr/>
              <w:t xml:space="preserve">$ 41,430.00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42" w:name="TotalPreviouslyPaidAmt"/>
            <w:bookmarkEnd w:id="42"/>
            <w:r>
              <w:rPr/>
              <w:t xml:space="preserve">$ 0.00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43" w:name="TotalOffsetAmt"/>
            <w:bookmarkEnd w:id="43"/>
            <w:r>
              <w:rPr/>
              <w:t xml:space="preserve">$ 0.00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44" w:name="NetFeeAmt"/>
            <w:bookmarkEnd w:id="44"/>
            <w:r>
              <w:rPr/>
              <w:t xml:space="preserve">$ 41,430.00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There are being registered under this Registration Statement such indeterminate number of common shares, preferred shares, debt securities, warrants, subscription receipts and units of Eupraxia Pharmaceuticals Inc. (the "Registrant"), and a combination of such securities, separately or as units, as may be sold by the Registrant from time to time, which collectively, shall have an initial aggregate offering price not to exceed $300,000,000 (or its equivalent in any other currency used to denominate the securities). The maximum aggregate offering price is estimated solely for the purpose of calculating the amount of the registration fee pursuant to Rule 457(o) under the U.S. Securities Act of 1933, as amended (the "Securities Act"). Pursuant to Rule 416 under the Securities Act, the securities being registered hereunder include such indeterminate number of common shares, preferred shares, debt securities, warrants, subscription receipts and units as may be issuable with respect to the securities being registered hereunder as a result of share splits, share dividends, or similar transactions. The proposed maximum initial offering price per security will be determined, from time to time, by the Registrant in connection with the sale of the securities under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81178/000119312526104765/d78249dex991.htm" TargetMode="External"/><Relationship Id="rId4" Type="http://schemas.openxmlformats.org/officeDocument/2006/relationships/hyperlink" Target="http://www.sec.gov/Archives/edgar/data/../../../ix?doc=/Archives/edgar/data/1581178/000119312526104765/d78249dex992.htm" TargetMode="External"/><Relationship Id="rId5" Type="http://schemas.openxmlformats.org/officeDocument/2006/relationships/hyperlink" Target="http://www.sec.gov/Archives/edgar/data/1581178/000119312526104765/d78249dex993.htm" TargetMode="External"/><Relationship Id="rId6" Type="http://schemas.openxmlformats.org/officeDocument/2006/relationships/hyperlink" Target="http://www.sec.gov/Archives/edgar/data/1581178/000119312526219802/d133809dex991.htm" TargetMode="External"/><Relationship Id="rId7" Type="http://schemas.openxmlformats.org/officeDocument/2006/relationships/hyperlink" Target="http://www.sec.gov/Archives/edgar/data/1581178/000119312526219802/d133809dex992.htm" TargetMode="External"/><Relationship Id="rId8" Type="http://schemas.openxmlformats.org/officeDocument/2006/relationships/hyperlink" Target="http://www.sec.gov/Archives/edgar/data/1581178/000117184326003787/exh_991.htm" TargetMode="External"/><Relationship Id="rId9" Type="http://schemas.openxmlformats.org/officeDocument/2006/relationships/hyperlink" Target="http://www.sec.gov/Archives/edgar/data/1581178/000119312526096039/d896156dex991.htm" TargetMode="External"/><Relationship Id="rId10" Type="http://schemas.openxmlformats.org/officeDocument/2006/relationships/hyperlink" Target="http://www.sec.gov/Archives/edgar/data/1581178/000117184326004676/exh_991.htm" TargetMode="External"/><Relationship Id="rId11" Type="http://schemas.openxmlformats.org/officeDocument/2006/relationships/hyperlink" Target="http://www.sec.gov/Archives/edgar/data/1581178/000119312526104765/d78249dex991.htm" TargetMode="External"/><Relationship Id="rId12" Type="http://schemas.openxmlformats.org/officeDocument/2006/relationships/hyperlink" Target="http://www.sec.gov/Archives/edgar/data/../../../ix?doc=/Archives/edgar/data/1581178/000119312526104765/d78249dex992.htm" TargetMode="External"/><Relationship Id="rId13" Type="http://schemas.openxmlformats.org/officeDocument/2006/relationships/hyperlink" Target="http://www.sec.gov/Archives/edgar/data/1581178/000119312526104765/d78249dex993.htm" TargetMode="External"/><Relationship Id="rId14" Type="http://schemas.openxmlformats.org/officeDocument/2006/relationships/hyperlink" Target="http://www.sec.gov/Archives/edgar/data/1581178/000119312526219802/d133809dex991.htm" TargetMode="External"/><Relationship Id="rId15" Type="http://schemas.openxmlformats.org/officeDocument/2006/relationships/hyperlink" Target="http://www.sec.gov/Archives/edgar/data/1581178/000119312526219802/d133809dex992.htm" TargetMode="External"/><Relationship Id="rId16" Type="http://schemas.openxmlformats.org/officeDocument/2006/relationships/hyperlink" Target="http://www.sec.gov/Archives/edgar/data/1581178/000117184326003787/exh_991.htm" TargetMode="External"/><Relationship Id="rId17" Type="http://schemas.openxmlformats.org/officeDocument/2006/relationships/hyperlink" Target="http://www.sec.gov/Archives/edgar/data/1581178/000119312526096039/d896156dex991.htm" TargetMode="External"/><Relationship Id="rId18" Type="http://schemas.openxmlformats.org/officeDocument/2006/relationships/hyperlink" Target="http://www.sec.gov/Archives/edgar/data/1581178/000117184326004676/exh_99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217</Pages>
  <Words>121052</Words>
  <Characters>645886</Characters>
  <CharactersWithSpaces>768583</CharactersWithSpaces>
  <Paragraphs>6196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EX-7.1</dc:title>
</cp:coreProperties>
</file>