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43554dsuppl.htm"/>
        <w:bookmarkStart w:id="1" w:name="ksd343554dsuppl"/>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General Instruction II.L of Form F-10</w:t>
        <w:br/>
        <w:t xml:space="preserve">File No. 333-298036 </w:t>
      </w:r>
    </w:p>
    <w:p>
      <w:pPr>
        <w:pStyle w:val="TextBody"/>
        <w:bidi w:val="0"/>
        <w:spacing w:before="120" w:after="0"/>
        <w:jc w:val="left"/>
        <w:rPr>
          <w:rFonts w:ascii="Times New Roman" w:hAnsi="Times New Roman"/>
          <w:i/>
          <w:color w:val="C3002F"/>
          <w:sz w:val="20"/>
        </w:rPr>
      </w:pPr>
      <w:r>
        <w:rPr>
          <w:rFonts w:ascii="Times New Roman" w:hAnsi="Times New Roman"/>
          <w:i/>
          <w:color w:val="C3002F"/>
          <w:sz w:val="20"/>
        </w:rPr>
        <w:t xml:space="preserve">No securities regulatory authority has expressed an opinion about these securities and it is an offence to claim otherwise. </w:t>
      </w:r>
    </w:p>
    <w:p>
      <w:pPr>
        <w:pStyle w:val="TextBody"/>
        <w:bidi w:val="0"/>
        <w:spacing w:before="240" w:after="0"/>
        <w:jc w:val="left"/>
        <w:rPr>
          <w:rFonts w:ascii="Times New Roman" w:hAnsi="Times New Roman"/>
          <w:i/>
          <w:sz w:val="20"/>
        </w:rPr>
      </w:pPr>
      <w:r>
        <w:rPr>
          <w:rFonts w:ascii="Times New Roman" w:hAnsi="Times New Roman"/>
          <w:i/>
          <w:sz w:val="20"/>
        </w:rPr>
        <w:t xml:space="preserve">This prospectus supplement, together with the short form base shelf prospectus dated August 18, 2026 to which it relates, as amended or supplemented, and each document incorporated or deemed to be incorporated by reference in this prospectus supplement and in the short form base shelf prospectus dated August 18, 2026 to which it relates, constitutes a public offering of these securities only in those jurisdictions where they may be lawfully offered for sale and therein only by persons permitted to sell such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has been incorporated by reference in this prospectus supplement and the short form base shelf prospectus dated August 18, 2026 to which it relates from documents filed with the securities commissions or similar regulatory authorities in Canada. Copies of the documents incorporated by reference herein may be obtained upon request without charge from the secretary of the Company at 2198 Yukon Street, Vancouver, BC, V5Y 3P1 (Telephone (250) 590-3968) and are also available electronically at www.sedarplus.ca and www.sec.gov.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SHORT-FORM BASE SHELF PROSPECTUS DATED AUGUST 18,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b/>
                <w:i/>
                <w:u w:val="single"/>
              </w:rPr>
            </w:pPr>
            <w:r>
              <w:rPr>
                <w:b/>
                <w:i/>
                <w:u w:val="single"/>
              </w:rPr>
              <w:t>Secondary Offering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0"/>
              <w:jc w:val="right"/>
              <w:rPr>
                <w:rFonts w:ascii="Times New Roman" w:hAnsi="Times New Roman"/>
                <w:sz w:val="20"/>
              </w:rPr>
            </w:pPr>
            <w:r>
              <w:rPr>
                <w:rFonts w:ascii="Times New Roman" w:hAnsi="Times New Roman"/>
                <w:sz w:val="20"/>
              </w:rPr>
              <w:t>September 1, 2026</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406650" cy="6648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6650" cy="6648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2,926,000 Common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This prospectus supplement, together with the accompanying short form base shelf prospectus dated August 18, 2026 to which it relates (the “</w:t>
      </w:r>
      <w:r>
        <w:rPr>
          <w:rFonts w:ascii="Times New Roman" w:hAnsi="Times New Roman"/>
          <w:b/>
          <w:sz w:val="20"/>
        </w:rPr>
        <w:t>shelf prospectus</w:t>
      </w:r>
      <w:r>
        <w:rPr>
          <w:rFonts w:ascii="Times New Roman" w:hAnsi="Times New Roman"/>
          <w:sz w:val="20"/>
        </w:rPr>
        <w:t>”) of Eupraxia Pharmaceuticals Inc. (“</w:t>
      </w:r>
      <w:r>
        <w:rPr>
          <w:rFonts w:ascii="Times New Roman" w:hAnsi="Times New Roman"/>
          <w:b/>
          <w:sz w:val="20"/>
        </w:rPr>
        <w:t>Eupraxia</w:t>
      </w:r>
      <w:r>
        <w:rPr>
          <w:rFonts w:ascii="Times New Roman" w:hAnsi="Times New Roman"/>
          <w:sz w:val="20"/>
        </w:rPr>
        <w:t>” or the “</w:t>
      </w:r>
      <w:r>
        <w:rPr>
          <w:rFonts w:ascii="Times New Roman" w:hAnsi="Times New Roman"/>
          <w:b/>
          <w:sz w:val="20"/>
        </w:rPr>
        <w:t>Company</w:t>
      </w:r>
      <w:r>
        <w:rPr>
          <w:rFonts w:ascii="Times New Roman" w:hAnsi="Times New Roman"/>
          <w:sz w:val="20"/>
        </w:rPr>
        <w:t>”) relates to the resale by the selling shareholders named in this prospectus supplement (the “</w:t>
      </w:r>
      <w:r>
        <w:rPr>
          <w:rFonts w:ascii="Times New Roman" w:hAnsi="Times New Roman"/>
          <w:b/>
          <w:sz w:val="20"/>
        </w:rPr>
        <w:t>Selling Shareholders</w:t>
      </w:r>
      <w:r>
        <w:rPr>
          <w:rFonts w:ascii="Times New Roman" w:hAnsi="Times New Roman"/>
          <w:sz w:val="20"/>
        </w:rPr>
        <w:t>”) of up to 2,926,000 common shares (the “</w:t>
      </w:r>
      <w:r>
        <w:rPr>
          <w:rFonts w:ascii="Times New Roman" w:hAnsi="Times New Roman"/>
          <w:b/>
          <w:sz w:val="20"/>
        </w:rPr>
        <w:t>Shares</w:t>
      </w:r>
      <w:r>
        <w:rPr>
          <w:rFonts w:ascii="Times New Roman" w:hAnsi="Times New Roman"/>
          <w:sz w:val="20"/>
        </w:rPr>
        <w:t>”) that were issued to the Selling Shareholders upon the exercise of 2,926,000 warrants (the “</w:t>
      </w:r>
      <w:r>
        <w:rPr>
          <w:rFonts w:ascii="Times New Roman" w:hAnsi="Times New Roman"/>
          <w:b/>
          <w:sz w:val="20"/>
        </w:rPr>
        <w:t>Warrants</w:t>
      </w:r>
      <w:r>
        <w:rPr>
          <w:rFonts w:ascii="Times New Roman" w:hAnsi="Times New Roman"/>
          <w:sz w:val="20"/>
        </w:rPr>
        <w:t>”). The Warrants were offered and sold by us in a private placement in the United States that closed on April 20, 2022 (the “</w:t>
      </w:r>
      <w:r>
        <w:rPr>
          <w:rFonts w:ascii="Times New Roman" w:hAnsi="Times New Roman"/>
          <w:b/>
          <w:sz w:val="20"/>
        </w:rPr>
        <w:t>Private Placement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There can be no assurance that the Selling Shareholders will sell any or all of the Shares registered pursuant to the registration statement of which this prospectus supplement forms a part. The Selling Shareholders may offer, sell, or distribute all or a portion of the Shares hereby registered publicly or through private transactions at prevailing market prices or at negotiated prices. The Company will not receive any of the proceeds from such sales of the Shares by the Selling Shareholders pursuant to this prospectus. The Company will bear all costs, expenses and fees in connection with the registration of the Shares, including with regard to compliance with state securities or “blue sky” laws. The Selling Shareholders will bear all commissions and discounts, if any, attributable to their resale of the Shares. See “</w:t>
      </w:r>
      <w:r>
        <w:rPr>
          <w:rFonts w:ascii="Times New Roman" w:hAnsi="Times New Roman"/>
          <w:i/>
          <w:sz w:val="20"/>
        </w:rPr>
        <w:t>Plan of Distribution</w:t>
      </w:r>
      <w:r>
        <w:rPr>
          <w:rFonts w:ascii="Times New Roman" w:hAnsi="Times New Roman"/>
          <w:sz w:val="20"/>
        </w:rPr>
        <w:t xml:space="preserve">” beginning on page S-35 of this prospectus supplement. </w:t>
      </w:r>
    </w:p>
    <w:p>
      <w:pPr>
        <w:pStyle w:val="TextBody"/>
        <w:bidi w:val="0"/>
        <w:spacing w:before="240" w:after="0"/>
        <w:jc w:val="left"/>
        <w:rPr>
          <w:rFonts w:ascii="Times New Roman" w:hAnsi="Times New Roman"/>
          <w:sz w:val="20"/>
        </w:rPr>
      </w:pPr>
      <w:r>
        <w:rPr>
          <w:rFonts w:ascii="Times New Roman" w:hAnsi="Times New Roman"/>
          <w:sz w:val="20"/>
        </w:rPr>
        <w:t>The outstanding common shares are listed and posted for trading on the Toronto Stock Exchange (“</w:t>
      </w:r>
      <w:r>
        <w:rPr>
          <w:rFonts w:ascii="Times New Roman" w:hAnsi="Times New Roman"/>
          <w:b/>
          <w:sz w:val="20"/>
        </w:rPr>
        <w:t>TSX</w:t>
      </w:r>
      <w:r>
        <w:rPr>
          <w:rFonts w:ascii="Times New Roman" w:hAnsi="Times New Roman"/>
          <w:sz w:val="20"/>
        </w:rPr>
        <w:t>”) and the Nasdaq Capital Market (“</w:t>
      </w:r>
      <w:r>
        <w:rPr>
          <w:rFonts w:ascii="Times New Roman" w:hAnsi="Times New Roman"/>
          <w:b/>
          <w:sz w:val="20"/>
        </w:rPr>
        <w:t>Nasdaq</w:t>
      </w:r>
      <w:r>
        <w:rPr>
          <w:rFonts w:ascii="Times New Roman" w:hAnsi="Times New Roman"/>
          <w:sz w:val="20"/>
        </w:rPr>
        <w:t xml:space="preserve">”), under the symbol “EPRX”. On September 1, 2026, the closing price of our common shares on the TSX and Nasdaq was C$8.79 and US$6.34 per common share, respectively.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Eupraxia’s securities is speculative and involves a high degree of risk. You should carefully read the risks that are described in the “</w:t>
      </w:r>
      <w:hyperlink w:anchor="supptoc343554_8">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section beginning on page S-20 of this prospectus supplement, page 16 of the accompanying short form base shelf prospectus dated August 18, 2026 to which it relates, and the documents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incorporated by reference herein and therein. Potential investors are advised to consult their own legal counsel and other professional advisors in order to assess tax, legal and other aspects of an investment in Eupraxia. An investment in securities of the Company should only be undertaken by those persons who can afford the total loss of their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Eupraxia is permitted under a multijurisdictional disclosure system (“MJDS”) adopted by the securities regulatory authorities in Canada and the United States to prepare this prospectus supplement and the accompanying shelf prospectus in accordance with the disclosure requirements of Canada. Prospective investors in the United States should be aware that such requirements are different from those of the United States. </w:t>
      </w:r>
    </w:p>
    <w:p>
      <w:pPr>
        <w:pStyle w:val="TextBody"/>
        <w:bidi w:val="0"/>
        <w:spacing w:before="240" w:after="0"/>
        <w:jc w:val="left"/>
        <w:rPr>
          <w:rFonts w:ascii="Times New Roman" w:hAnsi="Times New Roman"/>
          <w:sz w:val="20"/>
        </w:rPr>
      </w:pPr>
      <w:r>
        <w:rPr>
          <w:rFonts w:ascii="Times New Roman" w:hAnsi="Times New Roman"/>
          <w:b/>
          <w:sz w:val="20"/>
        </w:rPr>
        <w:t>The enforcement by investors of civil liabilities under the United States federal securities laws may be affected adversely by the facts that (i) the Company is incorporated or organized under the laws of British Columbia, Canada, (ii) the majority of its officers and directors are residents of a country other than the United States, (iii) some or all of the underwriters or experts named in this prospectus supplement and the shelf prospectus may be residents of a country other than the United States and (iv) all or a substantial portion of the assets of the Company and the assets of the foregoing persons may be located outside the United States. See “</w:t>
      </w:r>
      <w:r>
        <w:rPr>
          <w:rFonts w:ascii="Times New Roman" w:hAnsi="Times New Roman"/>
          <w:b/>
          <w:i/>
          <w:sz w:val="20"/>
        </w:rPr>
        <w:t>Enforceability of Civil Liabilities</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HAVE NOT BEEN APPROVED OR DISAPPROVED BY THE SECURITIES AND EXCHANGE COMMISSION (“SEC”), THE SECURITIES COMMISSION OF ANY STATE OF THE UNITED STATES OR ANY CANADIAN SECURITIES REGULATOR NOR HAVE ANY OF THE FOREGOING PASSED UPON THE ACCURACY OR ADEQUACY OF THIS PROSPECTUS SUPPLEMENT AND THE SHELF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b/>
          <w:sz w:val="20"/>
        </w:rPr>
        <w:t>Prospective investors should be aware that the acquisition, holding or disposition of the Shares described herein may have tax consequences both in the United States and in Canada. Such consequences for investors who are resident in, or citizens of, the United States, or who are resident in Canada may not be described fully herein. You should read the tax discussion contained in this prospectus supplement and consult your own tax advisor with respect to your own particular circumstances. See the sections titled “</w:t>
      </w:r>
      <w:r>
        <w:rPr>
          <w:rFonts w:ascii="Times New Roman" w:hAnsi="Times New Roman"/>
          <w:b/>
          <w:i/>
          <w:sz w:val="20"/>
        </w:rPr>
        <w:t>Certain Canadian Federal Income Tax Considerations</w:t>
      </w:r>
      <w:r>
        <w:rPr>
          <w:rFonts w:ascii="Times New Roman" w:hAnsi="Times New Roman"/>
          <w:sz w:val="20"/>
        </w:rPr>
        <w:t>”</w:t>
      </w:r>
      <w:r>
        <w:rPr>
          <w:rFonts w:ascii="Times New Roman" w:hAnsi="Times New Roman"/>
          <w:b/>
          <w:sz w:val="20"/>
        </w:rPr>
        <w:t>, “</w:t>
      </w:r>
      <w:r>
        <w:rPr>
          <w:rFonts w:ascii="Times New Roman" w:hAnsi="Times New Roman"/>
          <w:b/>
          <w:i/>
          <w:sz w:val="20"/>
        </w:rPr>
        <w:t>Certain Material United States Federal Income Tax Considerations</w:t>
      </w:r>
      <w:r>
        <w:rPr>
          <w:rFonts w:ascii="Times New Roman" w:hAnsi="Times New Roman"/>
          <w:sz w:val="20"/>
        </w:rPr>
        <w:t>”</w:t>
      </w:r>
      <w:r>
        <w:rPr>
          <w:rFonts w:ascii="Times New Roman" w:hAnsi="Times New Roman"/>
          <w:b/>
          <w:sz w:val="20"/>
        </w:rPr>
        <w:t>, and “</w:t>
      </w:r>
      <w:r>
        <w:rPr>
          <w:rFonts w:ascii="Times New Roman" w:hAnsi="Times New Roman"/>
          <w:b/>
          <w:i/>
          <w:sz w:val="20"/>
        </w:rPr>
        <w:t>Risk Factors</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are an “emerging growth company” as defined by the Jumpstart Our Business Startups Act of 2012 (the “</w:t>
      </w:r>
      <w:r>
        <w:rPr>
          <w:rFonts w:ascii="Times New Roman" w:hAnsi="Times New Roman"/>
          <w:b/>
          <w:sz w:val="20"/>
        </w:rPr>
        <w:t>JOBS Act</w:t>
      </w:r>
      <w:r>
        <w:rPr>
          <w:rFonts w:ascii="Times New Roman" w:hAnsi="Times New Roman"/>
          <w:sz w:val="20"/>
        </w:rPr>
        <w:t>”) and, as such, we have elected to comply with certain reduced public company reporting requirements for this prospectus supplement and future filings. However, we have elected not to take advantage of the extended transition period allowed for emerging growth companies for complying with new or revised accounting guidance as allowed by Section 107 of the JOBS Act and Section 7(a)(2)(B) of the United States Securities Act of 1933, as amended (the “</w:t>
      </w:r>
      <w:r>
        <w:rPr>
          <w:rFonts w:ascii="Times New Roman" w:hAnsi="Times New Roman"/>
          <w:b/>
          <w:sz w:val="20"/>
        </w:rPr>
        <w:t>U.S.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Shares are being registered in the United States under the terms of the registration statement on Form F-10, as amended (File No. 333-298036), which was initially filed with the SEC on August 6, 2026, as amended on August 19, 2026, and declared effective by the SEC on August 24, 2026 (the “</w:t>
      </w:r>
      <w:r>
        <w:rPr>
          <w:rFonts w:ascii="Times New Roman" w:hAnsi="Times New Roman"/>
          <w:b/>
          <w:sz w:val="20"/>
        </w:rPr>
        <w:t>U.S. Registration Statement</w:t>
      </w:r>
      <w:r>
        <w:rPr>
          <w:rFonts w:ascii="Times New Roman" w:hAnsi="Times New Roman"/>
          <w:sz w:val="20"/>
        </w:rPr>
        <w:t xml:space="preserve">”). </w:t>
      </w:r>
      <w:r>
        <w:rPr>
          <w:rFonts w:ascii="Times New Roman" w:hAnsi="Times New Roman"/>
          <w:b/>
          <w:sz w:val="20"/>
        </w:rPr>
        <w:t>This prospectus supplement does not qualify in any of the provinces or territories of Canada the distribution of any common shares.</w:t>
      </w:r>
      <w:r>
        <w:rPr>
          <w:rFonts w:ascii="Times New Roman" w:hAnsi="Times New Roman"/>
          <w:sz w:val="20"/>
        </w:rPr>
        <w:t xml:space="preserve"> No underwriter has been involved in the preparation of, or has performed any review of, this prospectus supplement or the accompanying shelf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Company’s head office is located at 2198 Yukon Street, Vancouver, BC, V5Y 3P1 and our registered and records offices are located at 1133 Melville Street, Suite 3500, The Stack, Vancouver BC V6E 4E5, Canada. Our telephone number is (250) 590-3968. </w:t>
      </w:r>
    </w:p>
    <w:p>
      <w:pPr>
        <w:pStyle w:val="TextBody"/>
        <w:bidi w:val="0"/>
        <w:spacing w:before="240" w:after="0"/>
        <w:jc w:val="left"/>
        <w:rPr>
          <w:rFonts w:ascii="Times New Roman" w:hAnsi="Times New Roman"/>
          <w:sz w:val="20"/>
        </w:rPr>
      </w:pPr>
      <w:r>
        <w:rPr>
          <w:rFonts w:ascii="Times New Roman" w:hAnsi="Times New Roman"/>
          <w:sz w:val="20"/>
        </w:rPr>
        <w:t>Investors are advised that it may not be possible for them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hAnsi="Times New Roman"/>
          <w:i/>
          <w:sz w:val="20"/>
        </w:rPr>
        <w:t>Risk Factors — Enforcement of Judgments Against Foreign Persons may not be Possible</w:t>
      </w:r>
      <w:r>
        <w:rPr>
          <w:rFonts w:ascii="Times New Roman" w:hAnsi="Times New Roman"/>
          <w:sz w:val="20"/>
        </w:rPr>
        <w:t>” in the shelf prospectus. Amy Pott, Robert Bazemore and Helen Thackray, who serve on the Company’s board of directors, reside outside of Canada and have appointed Blake, Cassels &amp; Graydon LLP, 1133 Melville Street, Suite 3500, The Stack, Vancouver BC V6E 4E5, Canada, as agent for service of process. Each of the Selling Shareholders reside outside of Canada and have appointed Caravel Law LLP, 1122 3 Street SE, Suite 181, Ste 1906, Calgary AB T2G 0E7, Canada as agent for service of process. See “</w:t>
      </w:r>
      <w:r>
        <w:rPr>
          <w:rFonts w:ascii="Times New Roman" w:hAnsi="Times New Roman"/>
          <w:i/>
          <w:sz w:val="20"/>
        </w:rPr>
        <w:t>Agent for Service of Process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supplement is September 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bookmarkStart w:id="2" w:name="toc"/>
      <w:bookmarkEnd w:id="2"/>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ptoc343554_1">
              <w:r>
                <w:rPr>
                  <w:rStyle w:val="InternetLink"/>
                  <w:rFonts w:ascii="Times New Roman" w:hAnsi="Times New Roman"/>
                  <w:sz w:val="20"/>
                </w:rPr>
                <w:t>GENERAL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
              <w:r>
                <w:rPr>
                  <w:rStyle w:val="InternetLink"/>
                  <w:rFonts w:ascii="Times New Roman" w:hAnsi="Times New Roman"/>
                  <w:sz w:val="20"/>
                </w:rPr>
                <w:t>EXCHANGE RATE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4">
              <w:r>
                <w:rPr>
                  <w:rStyle w:val="InternetLink"/>
                  <w:rFonts w:ascii="Times New Roman" w:hAnsi="Times New Roman"/>
                  <w:sz w:val="20"/>
                </w:rPr>
                <w:t>THE RESALE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5">
              <w:r>
                <w:rPr>
                  <w:rStyle w:val="InternetLink"/>
                  <w:rFonts w:ascii="Times New Roman" w:hAnsi="Times New Roman"/>
                  <w:sz w:val="20"/>
                </w:rPr>
                <w:t>CAUTION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6">
              <w:r>
                <w:rPr>
                  <w:rStyle w:val="InternetLink"/>
                  <w:rFonts w:ascii="Times New Roman" w:hAnsi="Times New Roman"/>
                  <w:sz w:val="20"/>
                </w:rPr>
                <w:t>DOCUMENTS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7">
              <w:r>
                <w:rPr>
                  <w:rStyle w:val="InternetLink"/>
                  <w:rFonts w:ascii="Times New Roman" w:hAnsi="Times New Roman"/>
                  <w:sz w:val="20"/>
                </w:rPr>
                <w:t>DOCUMENTS FILED AS PART OF THE U.S. REGISTRATION STATEMENT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8">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9">
              <w:r>
                <w:rPr>
                  <w:rStyle w:val="InternetLink"/>
                  <w:rFonts w:ascii="Times New Roman" w:hAnsi="Times New Roman"/>
                  <w:sz w:val="20"/>
                </w:rPr>
                <w:t>DESCRIPTION OF THE BUSINESS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0">
              <w:r>
                <w:rPr>
                  <w:rStyle w:val="InternetLink"/>
                  <w:rFonts w:ascii="Times New Roman" w:hAnsi="Times New Roman"/>
                  <w:sz w:val="20"/>
                </w:rPr>
                <w:t>CONSOLIDATED 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1">
              <w:r>
                <w:rPr>
                  <w:rStyle w:val="InternetLink"/>
                  <w:rFonts w:ascii="Times New Roman" w:hAnsi="Times New Roman"/>
                  <w:sz w:val="20"/>
                </w:rPr>
                <w:t>PRIOR SALES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2">
              <w:r>
                <w:rPr>
                  <w:rStyle w:val="InternetLink"/>
                  <w:rFonts w:ascii="Times New Roman" w:hAnsi="Times New Roman"/>
                  <w:sz w:val="20"/>
                </w:rPr>
                <w:t>TRADING PRICE AND VOLUME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3">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4">
              <w:r>
                <w:rPr>
                  <w:rStyle w:val="InternetLink"/>
                  <w:rFonts w:ascii="Times New Roman" w:hAnsi="Times New Roman"/>
                  <w:sz w:val="20"/>
                </w:rPr>
                <w:t>DESCRIPTION OF THE COMMON SHARES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5">
              <w:r>
                <w:rPr>
                  <w:rStyle w:val="InternetLink"/>
                  <w:rFonts w:ascii="Times New Roman" w:hAnsi="Times New Roman"/>
                  <w:sz w:val="20"/>
                </w:rPr>
                <w:t>SELLING SECURITYHOLDERS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283"/>
              <w:jc w:val="left"/>
              <w:rPr/>
            </w:pPr>
            <w:hyperlink w:anchor="supptoc343554_16">
              <w:r>
                <w:rPr>
                  <w:rStyle w:val="InternetLink"/>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7">
              <w:r>
                <w:rPr>
                  <w:rStyle w:val="InternetLink"/>
                  <w:rFonts w:ascii="Times New Roman" w:hAnsi="Times New Roman"/>
                  <w:sz w:val="20"/>
                </w:rPr>
                <w:t>CERTAIN CANADIAN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8">
              <w:r>
                <w:rPr>
                  <w:rStyle w:val="InternetLink"/>
                  <w:rFonts w:ascii="Times New Roman" w:hAnsi="Times New Roman"/>
                  <w:sz w:val="20"/>
                </w:rPr>
                <w:t>CERTAIN MATERIAL UNITED STATES FEDERAL INCOME TAX CONSIDERATIONS FOR 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19">
              <w:r>
                <w:rPr>
                  <w:rStyle w:val="InternetLink"/>
                  <w:rFonts w:ascii="Times New Roman" w:hAnsi="Times New Roman"/>
                  <w:sz w:val="20"/>
                </w:rPr>
                <w:t>ENFORCEABILITY OF CIVIL LIABILITIES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2">
              <w:r>
                <w:rPr>
                  <w:rStyle w:val="InternetLink"/>
                  <w:rFonts w:ascii="Times New Roman" w:hAnsi="Times New Roman"/>
                  <w:sz w:val="20"/>
                </w:rPr>
                <w:t>AUDITORS, TRANSFER AGENT AND REGISTRAR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343554_24">
              <w:r>
                <w:rPr>
                  <w:rStyle w:val="InternetLink"/>
                  <w:rFonts w:ascii="Times New Roman" w:hAnsi="Times New Roman"/>
                  <w:sz w:val="20"/>
                </w:rPr>
                <w:t>ENFORCEMENT OF JUDGMENTS AGAINST FOREIGN PERSONS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2"/>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4268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3">
              <w:r>
                <w:rPr>
                  <w:rStyle w:val="InternetLink"/>
                  <w:rFonts w:ascii="Times New Roman" w:hAnsi="Times New Roman"/>
                  <w:sz w:val="20"/>
                </w:rPr>
                <w:t>DOCUMENTS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3a">
              <w:r>
                <w:rPr>
                  <w:rStyle w:val="InternetLink"/>
                  <w:rFonts w:ascii="Times New Roman" w:hAnsi="Times New Roman"/>
                  <w:sz w:val="20"/>
                </w:rPr>
                <w:t xml:space="preserve">DOCUMENTS FILED AS PART OF THE REGISTRATION STATEMENT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3b">
              <w:r>
                <w:rPr>
                  <w:rStyle w:val="InternetLink"/>
                  <w:rFonts w:ascii="Times New Roman" w:hAnsi="Times New Roman"/>
                  <w:sz w:val="20"/>
                </w:rPr>
                <w:t xml:space="preserve">CURRENCY PRESENTATION AND EXCHANGE RATE INFORMATION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3c">
              <w:r>
                <w:rPr>
                  <w:rStyle w:val="InternetLink"/>
                  <w:rFonts w:ascii="Times New Roman" w:hAnsi="Times New Roman"/>
                  <w:sz w:val="20"/>
                </w:rPr>
                <w:t xml:space="preserve">TRADEMARKS AND TRADE NAMES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4">
              <w:r>
                <w:rPr>
                  <w:rStyle w:val="InternetLink"/>
                  <w:rFonts w:ascii="Times New Roman" w:hAnsi="Times New Roman"/>
                  <w:sz w:val="20"/>
                </w:rPr>
                <w:t>EUPRAXIA PHARMACEUTICALS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7">
              <w:r>
                <w:rPr>
                  <w:rStyle w:val="InternetLink"/>
                  <w:rFonts w:ascii="Times New Roman" w:hAnsi="Times New Roman"/>
                  <w:sz w:val="20"/>
                </w:rPr>
                <w:t>CONSOLIDATED CAPITALIZATION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8">
              <w:r>
                <w:rPr>
                  <w:rStyle w:val="InternetLink"/>
                  <w:rFonts w:ascii="Times New Roman" w:hAnsi="Times New Roman"/>
                  <w:sz w:val="20"/>
                </w:rPr>
                <w:t>PRIOR SALES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9">
              <w:r>
                <w:rPr>
                  <w:rStyle w:val="InternetLink"/>
                  <w:rFonts w:ascii="Times New Roman" w:hAnsi="Times New Roman"/>
                  <w:sz w:val="20"/>
                </w:rPr>
                <w:t>TRADING PRICE AND VOLUME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0">
              <w:r>
                <w:rPr>
                  <w:rStyle w:val="InternetLink"/>
                  <w:rFonts w:ascii="Times New Roman" w:hAnsi="Times New Roman"/>
                  <w:sz w:val="20"/>
                </w:rPr>
                <w:t>EARNINGS COVERAGE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1">
              <w:r>
                <w:rPr>
                  <w:rStyle w:val="InternetLink"/>
                  <w:rFonts w:ascii="Times New Roman" w:hAnsi="Times New Roman"/>
                  <w:sz w:val="20"/>
                </w:rPr>
                <w:t>DESCRIPTION OF SHARE CAPITAL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2">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3">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4">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5">
              <w:r>
                <w:rPr>
                  <w:rStyle w:val="InternetLink"/>
                  <w:rFonts w:ascii="Times New Roman" w:hAnsi="Times New Roman"/>
                  <w:sz w:val="20"/>
                </w:rPr>
                <w:t>DESCRIPTION OF SUBSCRIPTION RECEIPTS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6">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7">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8">
              <w:r>
                <w:rPr>
                  <w:rStyle w:val="InternetLink"/>
                  <w:rFonts w:ascii="Times New Roman" w:hAnsi="Times New Roman"/>
                  <w:sz w:val="20"/>
                </w:rPr>
                <w:t>CERTAIN CANADIAN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19">
              <w:r>
                <w:rPr>
                  <w:rStyle w:val="InternetLink"/>
                  <w:rFonts w:ascii="Times New Roman" w:hAnsi="Times New Roman"/>
                  <w:sz w:val="20"/>
                </w:rPr>
                <w:t>CERTAIN MATERIAL UNITED STATES FEDERAL INCOME TAX CONSIDERATIONS FOR 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1">
              <w:r>
                <w:rPr>
                  <w:rStyle w:val="InternetLink"/>
                  <w:rFonts w:ascii="Times New Roman" w:hAnsi="Times New Roman"/>
                  <w:sz w:val="20"/>
                </w:rPr>
                <w:t>INTEREST OF EXPERT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2">
              <w:r>
                <w:rPr>
                  <w:rStyle w:val="InternetLink"/>
                  <w:rFonts w:ascii="Times New Roman" w:hAnsi="Times New Roman"/>
                  <w:sz w:val="20"/>
                </w:rPr>
                <w:t>AUDITORS, TRANSFER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3a">
              <w:r>
                <w:rPr>
                  <w:rStyle w:val="InternetLink"/>
                  <w:rFonts w:ascii="Times New Roman" w:hAnsi="Times New Roman"/>
                  <w:sz w:val="20"/>
                </w:rPr>
                <w:t xml:space="preserve">AGENT FOR SERVICE OF PROCESS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2683_24">
              <w:r>
                <w:rPr>
                  <w:rStyle w:val="InternetLink"/>
                  <w:rFonts w:ascii="Times New Roman" w:hAnsi="Times New Roman"/>
                  <w:sz w:val="20"/>
                </w:rPr>
                <w:t xml:space="preserve">ENFORCEABILITY OF CIVIL LIABILITIES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343554_1"/>
      <w:bookmarkEnd w:id="3"/>
      <w:r>
        <w:rPr>
          <w:rFonts w:ascii="Times New Roman" w:hAnsi="Times New Roman"/>
          <w:b/>
          <w:sz w:val="20"/>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composed of two parts. The first part is this prospectus supplement, which describes the specific terms of the resale offering of the Shares and adds to and supplements information contained in the shelf prospectus and the documents incorporated by reference therein. The second part is the shelf prospectus, which gives more general information, some of which may not apply to the Shares. This prospectus supplement is deemed to be incorporated by reference into the shelf prospectus solely for the purpose of the potential resale of the Shares by the 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shelf prospectus and the documents incorporated by reference therein are part of the U.S. Registration Statement that we have filed with the SEC. The U.S. Registration Statement was declared effective by the SEC on August 24, 2026. This prospectus supplement and the shelf prospectus do not contain all of the information set forth in the U.S. Registration Statement, certain parts of which are omitted in accordance with the rules and regulations of the SEC, or the schedules or exhibits that are part of the U.S. Registration Statement. Investors in the United States should refer to the U.S. Registration Statement and the exhibits thereto for further information with respect to the Company and the securities. Under this shelf registration process, the Selling Shareholders may, from time to time, sell the Shares offered by them as described in this prospectus supplement. We will not receive any proceeds from the sale by such Selling Shareholders of the Shares offered by them described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shelf prospectus and the documents incorporated by reference herein and therein include market share information and industry data and forecasts obtained from independent industry publications and surveys. References in such documents to research reports, surveys or articles should not be construed as depicting the complete findings of the entire referenced report, survey or article. The information in any such report, survey or article is not incorporated by reference in this prospectus supplement, the shelf prospectus or the documents incorporated by reference herein and therein. Although we believe these sources are reliable, we have not independently verified any of the data in such reports, surveys or articles. Some data is also based on our estimates, which are derived from our review of our internal surveys, as well as independent sources. We cannot and do not provide any assurance as to the accuracy or completeness of such information. Market forecasts, in particular, are likely to be inaccurate, especially over long periods of time.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Shareholders have authorized anyone to provide any information other than that contained or incorporated by reference in this prospectus supplement, the shelf prospectus , any amendment or supplement to this prospectus supplement or in any free writing prospectus prepared by us or on our behalf. We and the Selling Shareholders do not take any responsibility for, or provide any assurance as to the reliability of, any other information that others may provide you. You should assume that the information appearing in this prospectus supplement is accurate only as of the date on the front cover of this prospectus supplement, regardless of the time of delivery of this prospectus supplement or any sale of our common shares, and that information appearing in any document incorporated by reference is accurate only as of the date of such document. Our business, financial condition, results of operations or prospects may have changed since those dates. This prospectus supplement is not an offer to sell or the solicitation of an offer to buy our common shares in any circumstances under which such offer or solicitation is unlawful. To the extent there is a conflict between the information contained in this prospectus supplement and the information contained in the accompanying shelf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for example, a document incorporated by reference in the accompanying shelf prospectus,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the context otherwise requires, the terms “Eupraxia”, the “Company”, “we”, “us”, and “our” refer to Eupraxia Pharmaceuticals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Neither we, nor the Selling Shareholders have taken any action to permit a public offering of our common shares or the possession or distribution of this prospectus supplement in any jurisdiction where action for that purpose is required, other than the United States</w:t>
      </w:r>
      <w:r>
        <w:rPr>
          <w:rFonts w:ascii="Times New Roman" w:hAnsi="Times New Roman"/>
          <w:b/>
          <w:sz w:val="20"/>
        </w:rPr>
        <w:t xml:space="preserve">. </w:t>
      </w:r>
      <w:r>
        <w:rPr>
          <w:rFonts w:ascii="Times New Roman" w:hAnsi="Times New Roman"/>
          <w:sz w:val="20"/>
        </w:rPr>
        <w:t xml:space="preserve">You are required to inform yourselves about and to observe any restrictions relating to this resale offering and the distribution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financial information in this prospectus supplement, the shelf prospectus and the documents incorporated by reference therein has been prepared in accordance with generally accepted accounting principles in the United States. </w:t>
      </w:r>
      <w:r>
        <w:rPr>
          <w:rFonts w:ascii="Times New Roman" w:hAnsi="Times New Roman"/>
          <w:b/>
          <w:sz w:val="20"/>
        </w:rPr>
        <w:t>Unless otherwise noted herein, all references to “$”, “US$”, “United States dollars”, or “U.S. dollars” are to the currency of the United States, and “C$”, “Canadian dollars”, or “dollars” are to the currency of Canada.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343554_2"/>
      <w:bookmarkEnd w:id="4"/>
      <w:r>
        <w:rPr>
          <w:rFonts w:ascii="Times New Roman" w:hAnsi="Times New Roman"/>
          <w:b/>
          <w:sz w:val="20"/>
        </w:rPr>
        <w:t xml:space="preserve">EXCHANGE RATE INFORMATION </w:t>
      </w:r>
    </w:p>
    <w:p>
      <w:pPr>
        <w:pStyle w:val="TextBody"/>
        <w:bidi w:val="0"/>
        <w:spacing w:before="240" w:after="0"/>
        <w:jc w:val="left"/>
        <w:rPr>
          <w:rFonts w:ascii="Times New Roman" w:hAnsi="Times New Roman"/>
          <w:sz w:val="20"/>
        </w:rPr>
      </w:pPr>
      <w:r>
        <w:rPr>
          <w:rFonts w:ascii="Times New Roman" w:hAnsi="Times New Roman"/>
          <w:sz w:val="20"/>
        </w:rPr>
        <w:t>The financial statements included in or incorporated by reference into this prospectus supplement and shelf prospectus have been prepared in conformity with United States generally accepted accounting principles. Our consolidated financial statements are audited in accordance with the standards of the Public Company Accounting Oversight Board (United States) (“</w:t>
      </w:r>
      <w:r>
        <w:rPr>
          <w:rFonts w:ascii="Times New Roman" w:hAnsi="Times New Roman"/>
          <w:b/>
          <w:sz w:val="20"/>
        </w:rPr>
        <w:t>PCAOB</w:t>
      </w:r>
      <w:r>
        <w:rPr>
          <w:rFonts w:ascii="Times New Roman" w:hAnsi="Times New Roman"/>
          <w:sz w:val="20"/>
        </w:rPr>
        <w:t xml:space="preserve">”) and our auditors are required to be independent with respect to the Company in accordance with the U.S. federal securities laws and the applicable rules and regulations of the SEC and the PCAOB.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period indicated, the highest exchange rates, lowest exchange rates, average exchange rates (based on the average of the exchange rates on the last day of each month in such periods), and the exchange rates at the end of each period, for Canadian dollars expressed in terms of one U.S. dollar, based upon the daily rate of exchange as published by the Bank of Canada. The exchange rates set forth below demonstrate trends in exchange rates, but the actual exchange rates used throughout this prospectus supplement may vary.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34"/>
        <w:gridCol w:w="381"/>
        <w:gridCol w:w="109"/>
        <w:gridCol w:w="1303"/>
        <w:gridCol w:w="60"/>
        <w:gridCol w:w="381"/>
        <w:gridCol w:w="60"/>
        <w:gridCol w:w="689"/>
        <w:gridCol w:w="60"/>
        <w:gridCol w:w="381"/>
        <w:gridCol w:w="60"/>
        <w:gridCol w:w="688"/>
        <w:gridCol w:w="66"/>
      </w:tblGrid>
      <w:tr>
        <w:trPr/>
        <w:tc>
          <w:tcPr>
            <w:tcW w:w="433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9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66"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7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 Canadian dollars)</w:t>
            </w:r>
          </w:p>
        </w:tc>
        <w:tc>
          <w:tcPr>
            <w:tcW w:w="66"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Highest rate during the period</w:t>
            </w:r>
          </w:p>
        </w:tc>
        <w:tc>
          <w:tcPr>
            <w:tcW w:w="3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1.4603</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1.4234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1.4603</w:t>
            </w:r>
          </w:p>
        </w:tc>
        <w:tc>
          <w:tcPr>
            <w:tcW w:w="66"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Lowest rate during the period</w:t>
            </w:r>
          </w:p>
        </w:tc>
        <w:tc>
          <w:tcPr>
            <w:tcW w:w="3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1.3558</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1.3515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1.3558</w:t>
            </w:r>
          </w:p>
        </w:tc>
        <w:tc>
          <w:tcPr>
            <w:tcW w:w="66"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rate during the period(1)</w:t>
            </w:r>
          </w:p>
        </w:tc>
        <w:tc>
          <w:tcPr>
            <w:tcW w:w="3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1.3978</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1.3781</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1.4094</w:t>
            </w:r>
          </w:p>
        </w:tc>
        <w:tc>
          <w:tcPr>
            <w:tcW w:w="66"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Rate at end of the period</w:t>
            </w:r>
          </w:p>
        </w:tc>
        <w:tc>
          <w:tcPr>
            <w:tcW w:w="3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1.3706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1.4210</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1.3643</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exchange rates are calculated based on the exchange rates on the last business day of each month for the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1, 2026, the daily rate of exchange published by the Bank of Canada was US$1.00 = C$1.3896.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343554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This summary does not contain all the information that you should consider before making an investment decision. You should read the entire prospectus supplement and the shelf prospectus, including the documents incorporated by reference herein and therein, carefully, including “Risk Factors” in this prospectus supplement and the shelf prospectus and our financial statements and notes to those financial statements,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bdr w:val="single" w:sz="8" w:space="1" w:color="000000"/>
        </w:rPr>
        <w:t>PK</w:t>
      </w:r>
      <w:r>
        <w:rPr>
          <w:rFonts w:ascii="Times New Roman" w:hAnsi="Times New Roman"/>
          <w:sz w:val="20"/>
          <w:bdr w:val="single" w:sz="8" w:space="1" w:color="000000"/>
        </w:rPr>
        <w:t xml:space="preserve">”)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currently have two distinct clinical development programs, one targeting EoE and the second targeting chronic OA pain in the knee. Both programs are broadly based upon the same active pharmaceutical ingredient (“</w:t>
      </w:r>
      <w:r>
        <w:rPr>
          <w:rFonts w:ascii="Times New Roman" w:hAnsi="Times New Roman"/>
          <w:b/>
          <w:sz w:val="20"/>
          <w:bdr w:val="single" w:sz="8" w:space="1" w:color="000000"/>
        </w:rPr>
        <w:t>API</w:t>
      </w:r>
      <w:r>
        <w:rPr>
          <w:rFonts w:ascii="Times New Roman" w:hAnsi="Times New Roman"/>
          <w:sz w:val="20"/>
          <w:bdr w:val="single" w:sz="8" w:space="1" w:color="000000"/>
        </w:rPr>
        <w:t>”),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intra-articular (“</w:t>
      </w:r>
      <w:r>
        <w:rPr>
          <w:rFonts w:ascii="Times New Roman" w:hAnsi="Times New Roman"/>
          <w:b/>
          <w:sz w:val="20"/>
          <w:bdr w:val="single" w:sz="8" w:space="1" w:color="000000"/>
        </w:rPr>
        <w:t>IA</w:t>
      </w:r>
      <w:r>
        <w:rPr>
          <w:rFonts w:ascii="Times New Roman" w:hAnsi="Times New Roman"/>
          <w:sz w:val="20"/>
          <w:bdr w:val="single" w:sz="8" w:space="1" w:color="000000"/>
        </w:rPr>
        <w:t xml:space="preserve">”)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bdr w:val="single" w:sz="8" w:space="1" w:color="000000"/>
        </w:rPr>
        <w:t>NORD</w:t>
      </w:r>
      <w:r>
        <w:rPr>
          <w:rFonts w:ascii="Times New Roman" w:hAnsi="Times New Roman"/>
          <w:sz w:val="20"/>
          <w:bdr w:val="single" w:sz="8" w:space="1" w:color="000000"/>
        </w:rPr>
        <w:t xml:space="preserve">”), however a 5- fold increase in the prevalence of EoE reported between 2009 and 2022, has resulted in the disease 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We are currently conducting a Phase 1b/2 clinical trial with EP-104GI in Canada, the Netherlands, Australia, the UK, Switzerland and New Zealand. We also received pre-Investigational New Drug (“</w:t>
      </w:r>
      <w:r>
        <w:rPr>
          <w:rFonts w:ascii="Times New Roman" w:hAnsi="Times New Roman"/>
          <w:b/>
          <w:sz w:val="20"/>
          <w:bdr w:val="single" w:sz="8" w:space="1" w:color="000000"/>
        </w:rPr>
        <w:t>IND</w:t>
      </w:r>
      <w:r>
        <w:rPr>
          <w:rFonts w:ascii="Times New Roman" w:hAnsi="Times New Roman"/>
          <w:sz w:val="20"/>
          <w:bdr w:val="single" w:sz="8" w:space="1" w:color="000000"/>
        </w:rPr>
        <w:t xml:space="preserve">”)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Throughout 2025 and 2026, the Company announced interim data from the RESOLVE Phase 1b/2a clinical trial evaluating the safety and efficacy of EP-104GI for the treatment of EoE. The data to date from all cohorts suggest that EP-104GI continues to be released into the esophagus at a relatively constant rate from week 2 through month 12, and that EP-104GI will likely be provided on an annual dosing interval.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8, 2025, the Company announced dosing of the first patient in a Phase 2b, randomized, placebo-controlled, dose-optimization portion of the RESOLVE trial. The Phase 2b portion will enroll approximately 120 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Legal and 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Canadian company incorporated on May 12, 2011, pursuant to the </w:t>
      </w:r>
      <w:r>
        <w:rPr>
          <w:rFonts w:ascii="Times New Roman" w:hAnsi="Times New Roman"/>
          <w:i/>
          <w:sz w:val="20"/>
          <w:bdr w:val="single" w:sz="8" w:space="1" w:color="000000"/>
        </w:rPr>
        <w:t>Canada</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Business Corporations Act </w:t>
      </w:r>
      <w:r>
        <w:rPr>
          <w:rFonts w:ascii="Times New Roman" w:hAnsi="Times New Roman"/>
          <w:sz w:val="20"/>
          <w:bdr w:val="single" w:sz="8" w:space="1" w:color="000000"/>
        </w:rPr>
        <w:t xml:space="preserve">(Alberta), under the name “Plaza Capital Partners Inc.” On May 11, 2012, we were continued to British Columbia pursuant to the </w:t>
      </w:r>
      <w:r>
        <w:rPr>
          <w:rFonts w:ascii="Times New Roman" w:hAnsi="Times New Roman"/>
          <w:i/>
          <w:sz w:val="20"/>
          <w:bdr w:val="single" w:sz="8" w:space="1" w:color="000000"/>
        </w:rPr>
        <w:t xml:space="preserve">Business Corporations Act </w:t>
      </w:r>
      <w:r>
        <w:rPr>
          <w:rFonts w:ascii="Times New Roman" w:hAnsi="Times New Roman"/>
          <w:sz w:val="20"/>
          <w:bdr w:val="single" w:sz="8" w:space="1" w:color="000000"/>
        </w:rPr>
        <w:t>(British Columbia) (the “</w:t>
      </w:r>
      <w:r>
        <w:rPr>
          <w:rFonts w:ascii="Times New Roman" w:hAnsi="Times New Roman"/>
          <w:b/>
          <w:sz w:val="20"/>
          <w:bdr w:val="single" w:sz="8" w:space="1" w:color="000000"/>
        </w:rPr>
        <w:t>BCBCA</w:t>
      </w:r>
      <w:r>
        <w:rPr>
          <w:rFonts w:ascii="Times New Roman" w:hAnsi="Times New Roman"/>
          <w:sz w:val="20"/>
          <w:bdr w:val="single" w:sz="8" w:space="1" w:color="000000"/>
        </w:rPr>
        <w:t xml:space="preserve">”), with the name “Eupraxia Pharmaceuticals Inc.” We have six material subsidiaries, Eupraxia Pharma, Inc., Eupraxia Holdings, Inc., Eupraxia Pharmaceuticals USA, LLC, Eupraxia Pharma USA Inc. each of which is incorporated or organized, as applicable, under the laws of the state of Delaware and Eupraxia Pharmaceuticals Australia Pty Ltd, which is incorporated under the laws of the state of Victoria, Australia. All of our material subsidiaries are wholly-owned, except for Eupraxia Pharma, Inc. We hold 95% of the outstanding securities of Eupraxia Pharma, Inc. and Amanda Malone, our former Chief Scientific Officer, holds the remaining 5% of the outstanding securities. Our head office is located at 2198 Yukon Street, Vancouver, BC, V5Y 3P1.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www.eupraxiapharma.com. Information contained on, or that can be accessed through, our website does not constitute a part of this prospectus supplement and is not incorporated by reference herein. We have included our website address in this prospectus supplement solely for informational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agent for service of process in the United States is C T Corporation System and its telephone number is (212) 894-8940.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oc343554_4"/>
      <w:bookmarkEnd w:id="6"/>
      <w:r>
        <w:rPr>
          <w:rFonts w:ascii="Times New Roman" w:hAnsi="Times New Roman"/>
          <w:b/>
          <w:sz w:val="20"/>
          <w:bdr w:val="single" w:sz="8" w:space="1" w:color="000000"/>
        </w:rPr>
        <w:t xml:space="preserve">THE RESALE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by the Selling Shareholders: </w:t>
            </w:r>
          </w:p>
        </w:tc>
        <w:tc>
          <w:tcPr>
            <w:tcW w:w="6328" w:type="dxa"/>
            <w:tcBorders/>
          </w:tcPr>
          <w:p>
            <w:pPr>
              <w:pStyle w:val="TableContents"/>
              <w:bidi w:val="0"/>
              <w:spacing w:before="0" w:after="283"/>
              <w:jc w:val="left"/>
              <w:rPr/>
            </w:pPr>
            <w:r>
              <w:rPr/>
              <w:t xml:space="preserve">Up to 2,926,000 Shares issued to the Selling Shareholders upon exercise of 2,926,000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resale offering: </w:t>
            </w:r>
          </w:p>
        </w:tc>
        <w:tc>
          <w:tcPr>
            <w:tcW w:w="6328" w:type="dxa"/>
            <w:tcBorders/>
          </w:tcPr>
          <w:p>
            <w:pPr>
              <w:pStyle w:val="TableContents"/>
              <w:bidi w:val="0"/>
              <w:spacing w:before="0" w:after="283"/>
              <w:jc w:val="left"/>
              <w:rPr/>
            </w:pPr>
            <w:r>
              <w:rPr/>
              <w:t xml:space="preserve">The Selling Shareholders will determine when and how they will dispose of the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The Selling Shareholders will receive the proceeds from the sale of the Shares. We will not receive any proceeds from the sale of Shares by the Selling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See “</w:t>
            </w:r>
            <w:r>
              <w:rPr>
                <w:i/>
              </w:rPr>
              <w:t>Risk Factors</w:t>
            </w:r>
            <w:r>
              <w:rPr/>
              <w:t xml:space="preserve">” in this prospectus supplement and the shelf prospectus and other information included or incorporated by reference herein or therein for a discussion of factors you should consider carefully before deciding to invest in the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TSX and Nasdaq symbol: </w:t>
            </w:r>
          </w:p>
        </w:tc>
        <w:tc>
          <w:tcPr>
            <w:tcW w:w="6326" w:type="dxa"/>
            <w:tcBorders/>
          </w:tcPr>
          <w:p>
            <w:pPr>
              <w:pStyle w:val="TableContents"/>
              <w:bidi w:val="0"/>
              <w:spacing w:before="0" w:after="283"/>
              <w:jc w:val="left"/>
              <w:rPr/>
            </w:pPr>
            <w:r>
              <w:rPr/>
              <w:t>“</w:t>
            </w:r>
            <w:r>
              <w:rPr/>
              <w:t xml:space="preserve">EPRX”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Income tax considerations: </w:t>
            </w:r>
          </w:p>
        </w:tc>
        <w:tc>
          <w:tcPr>
            <w:tcW w:w="6329" w:type="dxa"/>
            <w:tcBorders/>
          </w:tcPr>
          <w:p>
            <w:pPr>
              <w:pStyle w:val="TableContents"/>
              <w:bidi w:val="0"/>
              <w:spacing w:before="0" w:after="283"/>
              <w:jc w:val="left"/>
              <w:rPr/>
            </w:pPr>
            <w:r>
              <w:rPr/>
              <w:t>The Shares will be subject to special and complex tax rules for U.S. taxpayers. Holders are urged to consult their tax advisors with respect to the U.S. federal, state, local and foreign tax consequences of purchasing, owning and disposing of the Shares. See “</w:t>
            </w:r>
            <w:r>
              <w:rPr>
                <w:i/>
              </w:rPr>
              <w:t>Certain Canadian Federal Income Tax Considerations</w:t>
            </w:r>
            <w:r>
              <w:rPr/>
              <w:t>” on page S-37 of this prospectus supplement and “</w:t>
            </w:r>
            <w:r>
              <w:rPr>
                <w:i/>
              </w:rPr>
              <w:t>Certain Material United States Federal Income Tax Considerations for U.S. Holders</w:t>
            </w:r>
            <w:r>
              <w:rPr/>
              <w:t xml:space="preserve">” on page S-42 of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343554_5"/>
      <w:bookmarkEnd w:id="7"/>
      <w:r>
        <w:rPr>
          <w:rFonts w:ascii="Times New Roman" w:hAnsi="Times New Roman"/>
          <w:b/>
          <w:sz w:val="20"/>
        </w:rPr>
        <w:t xml:space="preserve">CAUTION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We caution readers regarding forward-looking statements found in this prospectus supplement and the shelf prospectus (including the documents incorporated by reference herein and therein). This prospectus supplement and the shelf prospectus, including the documents incorporated by reference herein and therein, contain “forward-looking statements” within the meaning of the United States Private Securities Litigation Reform Act of 1995, as amended, and “forward-looking information” within the meaning of Canadian securities laws (collectively, “</w:t>
      </w:r>
      <w:r>
        <w:rPr>
          <w:rFonts w:ascii="Times New Roman" w:hAnsi="Times New Roman"/>
          <w:b/>
          <w:sz w:val="20"/>
        </w:rPr>
        <w:t>forward-looking information</w:t>
      </w:r>
      <w:r>
        <w:rPr>
          <w:rFonts w:ascii="Times New Roman" w:hAnsi="Times New Roman"/>
          <w:sz w:val="20"/>
        </w:rPr>
        <w:t xml:space="preserve">”). This forward-looking information is identified by the use of terms and phrases such as “may,” “might,” “will,” “likely,” “could,” “would,” “should,” “expect,” “intend,” “plan,” “objective,” “goal,” “outlook,” “anticipate,” “believe,” “estimate,” “predict,” “project,” “forecast,” “estimate,” “potential,” “target,” “seek,” “contemplate,” “continue,” “design,” and “ongoing,” the negative of these terms and similar terminology, including references to assumptions, although not all forward-looking information contains these terms and phrases. In addition, any statements in this prospectus supplement, the shelf prospectus or in the documents incorporated by reference herein or therein that refer to expectations, intentions, projections or other characterizations of future events or circumstances, contain forward-looking information. Such forward-looking information includes, but is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funding for our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our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enhance our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ability to enter into definitive agreements with our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development programs and activities and the estimated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belief that our planned clinical trials will support future New Drug Application (“</w:t>
            </w:r>
            <w:r>
              <w:rPr>
                <w:rFonts w:ascii="Times New Roman" w:hAnsi="Times New Roman"/>
                <w:b/>
                <w:sz w:val="20"/>
              </w:rPr>
              <w:t>NDA</w:t>
            </w:r>
            <w:r>
              <w:rPr>
                <w:rFonts w:ascii="Times New Roman" w:hAnsi="Times New Roman"/>
                <w:sz w:val="20"/>
              </w:rPr>
              <w:t xml:space="preserve">”) submissions for EP-104GI and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expand upon and exploit our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advantages and those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our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our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our technologies and expansion of our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our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the sale of our Securities under this prospectus supplement and our existing cash and cash equivalents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and cash equivalents to fund our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upon conversion of our Series 1 Preferred shares in the capital of the Company (the “</w:t>
            </w:r>
            <w:r>
              <w:rPr>
                <w:rFonts w:ascii="Times New Roman" w:hAnsi="Times New Roman"/>
                <w:b/>
                <w:sz w:val="20"/>
              </w:rPr>
              <w:t>Series 1 Preferred Shares</w:t>
            </w:r>
            <w:r>
              <w:rPr>
                <w:rFonts w:ascii="Times New Roman" w:hAnsi="Times New Roman"/>
                <w:sz w:val="20"/>
              </w:rPr>
              <w:t xml:space="preserve">”), and upon exercise of our outstanding stock options and common share purchase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payable on Series 1 Preferred Shares, including the potential issuance of additional Series 1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we develop and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completion of, and use of proceeds from the sale of our Securities under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continue development of EP-104GI through subsequent clinical trials required by the FDA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use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we believe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we or a potential partner would submit an NDA for EP-104IAR under Section 505(b)(2) of the </w:t>
            </w:r>
            <w:r>
              <w:rPr>
                <w:rFonts w:ascii="Times New Roman" w:hAnsi="Times New Roman"/>
                <w:i/>
                <w:sz w:val="20"/>
              </w:rPr>
              <w:t>Federal Food, Drug and Cosmetic Act</w:t>
            </w:r>
            <w:r>
              <w:rPr>
                <w:rFonts w:ascii="Times New Roman" w:hAnsi="Times New Roman"/>
                <w:sz w:val="20"/>
              </w:rPr>
              <w:t xml:space="preserve"> to obtain FDA approval, and that such NDA would rely in part on non-clinical studies and clinical trials conducted by us or a potential partner, and in part on the FDA’s prior findings of safety and efficacy for the active ingredient for which we do not have a right of reference or which have been established in the scientific literature in the public domain;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our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seek out-licencing, co-development or marketing partners for our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our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to add two pipeline product candidates over the next 24 months to allow for sustained corporate growth, which we expect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enroll approximately 120 patients in the Phase 2b portion of the RESOLVE trial in up to 25 sites globally, assessing tissue health measured by biopsy (EoEHSS and PEC scores), symptom scores (SDI and DSQ), and safety, over a twelve-month period. In Q4 2026, we expect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our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our trend of net losses will continue into the future as we make further investments in our EP-104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research and development expenses will increase as we undertake clinical trials and incur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that our growth plans will require further capital and our plans to obtain such capital. </w:t>
            </w:r>
          </w:p>
        </w:tc>
      </w:tr>
    </w:tbl>
    <w:p>
      <w:pPr>
        <w:pStyle w:val="TextBody"/>
        <w:bidi w:val="0"/>
        <w:spacing w:before="240" w:after="0"/>
        <w:jc w:val="left"/>
        <w:rPr>
          <w:rFonts w:ascii="Times New Roman" w:hAnsi="Times New Roman"/>
          <w:sz w:val="20"/>
        </w:rPr>
      </w:pPr>
      <w:r>
        <w:rPr>
          <w:rFonts w:ascii="Times New Roman" w:hAnsi="Times New Roman"/>
          <w:sz w:val="20"/>
        </w:rPr>
        <w:t>Forward-looking information involves known and unknown risks and uncertainties, many of which are beyond our control, that could cause actual results to differ materially from those that are disclosed in or implied by such forward-looking information. These risks and uncertainties include, but are not limited to, those described in greater detail under “</w:t>
      </w:r>
      <w:r>
        <w:rPr>
          <w:rFonts w:ascii="Times New Roman" w:hAnsi="Times New Roman"/>
          <w:i/>
          <w:sz w:val="20"/>
        </w:rPr>
        <w:t>Risk Factors</w:t>
      </w:r>
      <w:r>
        <w:rPr>
          <w:rFonts w:ascii="Times New Roman" w:hAnsi="Times New Roman"/>
          <w:sz w:val="20"/>
        </w:rPr>
        <w:t xml:space="preserve">” below and in the Annual Information Form (defined below),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U.S. Food and Drug Administration (the “</w:t>
            </w:r>
            <w:r>
              <w:rPr>
                <w:rFonts w:ascii="Times New Roman" w:hAnsi="Times New Roman"/>
                <w:b/>
                <w:sz w:val="20"/>
              </w:rPr>
              <w:t>FDA</w:t>
            </w:r>
            <w:r>
              <w:rPr>
                <w:rFonts w:ascii="Times New Roman" w:hAnsi="Times New Roman"/>
                <w:sz w:val="20"/>
              </w:rPr>
              <w:t xml:space="preserve">”)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the Company, which could have a material adverse impact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 - including the introduction or expansion of “most- favored-nation” or similar reference-pricing frameworks could materially reduce achievable pricing, constrain market access, and adversely impact our revenues, margins, and overall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arrangements we may enter into in the future may not be successful;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our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and product candidates, if approved, may be subject, in part, to the terms and conditions of any future licenses granted to us by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Series 1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restrict our operations or require us to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Series 1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you that an active market will develop for our common shares on the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could be subject to large price and volume volatility;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w:t>
            </w:r>
          </w:p>
        </w:tc>
      </w:tr>
    </w:tbl>
    <w:p>
      <w:pPr>
        <w:pStyle w:val="TextBody"/>
        <w:bidi w:val="0"/>
        <w:spacing w:before="240" w:after="0"/>
        <w:jc w:val="left"/>
        <w:rPr>
          <w:rFonts w:ascii="Times New Roman" w:hAnsi="Times New Roman"/>
          <w:sz w:val="20"/>
        </w:rPr>
      </w:pPr>
      <w:r>
        <w:rPr>
          <w:rFonts w:ascii="Times New Roman" w:hAnsi="Times New Roman"/>
          <w:sz w:val="20"/>
        </w:rPr>
        <w:t>Although we have attempted to identify important risk factors that could cause actual results to differ materially from those contained in forward-looking information, there may be other risk factors not presently known to us or that we presently believe are not material that could also cause actual results or future events to differ materially from those expressed in such forward-looking information, including but not limited to the factors in the “</w:t>
      </w:r>
      <w:r>
        <w:rPr>
          <w:rFonts w:ascii="Times New Roman" w:hAnsi="Times New Roman"/>
          <w:i/>
          <w:sz w:val="20"/>
        </w:rPr>
        <w:t>Risk Factors</w:t>
      </w:r>
      <w:r>
        <w:rPr>
          <w:rFonts w:ascii="Times New Roman" w:hAnsi="Times New Roman"/>
          <w:sz w:val="20"/>
        </w:rPr>
        <w:t>” section of this prospectus supplement and those described under “</w:t>
      </w:r>
      <w:r>
        <w:rPr>
          <w:rFonts w:ascii="Times New Roman" w:hAnsi="Times New Roman"/>
          <w:i/>
          <w:sz w:val="20"/>
        </w:rPr>
        <w:t>Risk Factors</w:t>
      </w:r>
      <w:r>
        <w:rPr>
          <w:rFonts w:ascii="Times New Roman" w:hAnsi="Times New Roman"/>
          <w:sz w:val="20"/>
        </w:rPr>
        <w:t xml:space="preserve">” in the Annual Information Form. Our Risk Factors are not guarantees that no such conditions exist as of the date of this prospectus supplement and should not be interpreted as an affirmative statement that such risks or conditions have not materialized, in whole or in part. The Annual Information Form is available under our profile on SEDAR+ at www.sedarplus.ca and as an Exhibit to our Annual Report on Form 40-F under our profile on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information is based on management’s beliefs and assumptions and on information currently available to management. Although the forward-looking information contained in this prospectus supplement, the shelf prospectus and in the documents incorporated by reference herein and therein is based upon what we believe are reasonable assumptions, investors are cautioned against placing undue reliance on this information since actual results may vary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 material risks and uncertainties applicable to the forward-looking statements herein include, without limitation, unforeseen events, developments, or factors causing any of the aforesaid expectations, assumptions, and other factors ultimately being inaccurate or irrelevant. Many of these factors are beyond our control. All forward-looking statements included in this prospectus supplement, the shelf prospectus and the documents incorporated by reference herein and therein are expressly qualified in their entirety by these cautionary statements. The forward-looking statements are made as of the date of this prospectus supplement, the shelf prospectus or the documents incorporated by reference herein or therein, as applicable, and the Company undertakes no obligation to update publicly or to revise any of the forward-looking statements, whether because of new information, future events, or otherwise,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343554_6"/>
      <w:bookmarkEnd w:id="8"/>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deemed to be incorporated by reference into the shelf prospectus solely for the purposes of the resale offering.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has been incorporated by reference in this prospectus supplement and the shelf prospectus from documents filed with the securities commissions or similar regulatory authorities in Canada. </w:t>
      </w:r>
    </w:p>
    <w:p>
      <w:pPr>
        <w:pStyle w:val="TextBody"/>
        <w:bidi w:val="0"/>
        <w:spacing w:before="240" w:after="0"/>
        <w:jc w:val="left"/>
        <w:rPr>
          <w:rFonts w:ascii="Times New Roman" w:hAnsi="Times New Roman"/>
          <w:sz w:val="20"/>
        </w:rPr>
      </w:pPr>
      <w:r>
        <w:rPr>
          <w:rFonts w:ascii="Times New Roman" w:hAnsi="Times New Roman"/>
          <w:sz w:val="20"/>
        </w:rPr>
        <w:t>Copies of the documents incorporated herein by reference may be obtained on request without charge from the secretary of the Company, at 2198 Yukon Street, Vancouver, British Columbia, V5Y 3P1, Canada (Telephone (250) 590-3968) or by accessing the disclosure documents through the Internet on the Canadian System for Electronic Data Analysis and Retrieval + (“</w:t>
      </w:r>
      <w:r>
        <w:rPr>
          <w:rFonts w:ascii="Times New Roman" w:hAnsi="Times New Roman"/>
          <w:b/>
          <w:sz w:val="20"/>
        </w:rPr>
        <w:t>SEDAR+</w:t>
      </w:r>
      <w:r>
        <w:rPr>
          <w:rFonts w:ascii="Times New Roman" w:hAnsi="Times New Roman"/>
          <w:sz w:val="20"/>
        </w:rPr>
        <w:t>”) at www.sedarplus.ca or the Electronic Data Gathering, Analysis, and Retrieval System (“</w:t>
      </w:r>
      <w:r>
        <w:rPr>
          <w:rFonts w:ascii="Times New Roman" w:hAnsi="Times New Roman"/>
          <w:b/>
          <w:sz w:val="20"/>
        </w:rPr>
        <w:t>EDGAR</w:t>
      </w:r>
      <w:r>
        <w:rPr>
          <w:rFonts w:ascii="Times New Roman" w:hAnsi="Times New Roman"/>
          <w:sz w:val="20"/>
        </w:rPr>
        <w:t xml:space="preserv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securities commissions or similar regulatory authorities in certain provinces and territories of Canada are specifically incorporated by reference into, and form an integral part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3">
              <w:r>
                <w:rPr>
                  <w:rStyle w:val="InternetLink"/>
                  <w:rFonts w:ascii="Times New Roman" w:hAnsi="Times New Roman"/>
                  <w:sz w:val="20"/>
                </w:rPr>
                <w:t>the annual information form of the Company dated March 11, 2026 for the year ended December 31, 2025</w:t>
              </w:r>
            </w:hyperlink>
            <w:r>
              <w:rPr>
                <w:rFonts w:ascii="Times New Roman" w:hAnsi="Times New Roman"/>
                <w:sz w:val="20"/>
              </w:rPr>
              <w:t xml:space="preserve"> (the “</w:t>
            </w:r>
            <w:r>
              <w:rPr>
                <w:rFonts w:ascii="Times New Roman" w:hAnsi="Times New Roman"/>
                <w:b/>
                <w:sz w:val="20"/>
              </w:rPr>
              <w:t>Annual Information Form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4">
              <w:r>
                <w:rPr>
                  <w:rStyle w:val="InternetLink"/>
                  <w:rFonts w:ascii="Times New Roman" w:hAnsi="Times New Roman"/>
                  <w:sz w:val="20"/>
                </w:rPr>
                <w:t>the audited consolidated financial statements of the Company for the years ended December 31, 2025 and 2024, together with the notes thereto and the report of the independent registered public accounting firm thereon</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5">
              <w:r>
                <w:rPr>
                  <w:rStyle w:val="InternetLink"/>
                  <w:rFonts w:ascii="Times New Roman" w:hAnsi="Times New Roman"/>
                  <w:sz w:val="20"/>
                </w:rPr>
                <w:t>the management’s discussion and analysis of financial condition and results of operations of the Company for the year ended December 31,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6">
              <w:r>
                <w:rPr>
                  <w:rStyle w:val="InternetLink"/>
                  <w:rFonts w:ascii="Times New Roman" w:hAnsi="Times New Roman"/>
                  <w:sz w:val="20"/>
                </w:rPr>
                <w:t>the unaudited interim consolidated financial statements of the Company for the three and six months ended 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7">
              <w:r>
                <w:rPr>
                  <w:rStyle w:val="InternetLink"/>
                  <w:rFonts w:ascii="Times New Roman" w:hAnsi="Times New Roman"/>
                  <w:sz w:val="20"/>
                </w:rPr>
                <w:t>the management’s discussion and analysis of financial condition and results of operations of the Company for the three and six months ended 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8">
              <w:r>
                <w:rPr>
                  <w:rStyle w:val="InternetLink"/>
                  <w:rFonts w:ascii="Times New Roman" w:hAnsi="Times New Roman"/>
                  <w:sz w:val="20"/>
                </w:rPr>
                <w:t>the management information circular dated May 11, 2026, distributed in connection with the annual general meeting of shareholders held on 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hyperlink r:id="rId9">
              <w:r>
                <w:rPr>
                  <w:rStyle w:val="InternetLink"/>
                  <w:rFonts w:ascii="Times New Roman" w:hAnsi="Times New Roman"/>
                  <w:sz w:val="20"/>
                </w:rPr>
                <w:t>the material change report dated February 23, 2026, regarding the closing of the Company’s brokered public offering for gross proceeds of approximately US$63.2 million</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10">
              <w:r>
                <w:rPr>
                  <w:rStyle w:val="InternetLink"/>
                  <w:rFonts w:ascii="Times New Roman" w:hAnsi="Times New Roman"/>
                  <w:sz w:val="20"/>
                </w:rPr>
                <w:t>the material change report dated July 15, 2026, regarding certain changes to the Company’s management team</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of the type described in Section 11.1 of Form 44-101F1 – </w:t>
      </w:r>
      <w:r>
        <w:rPr>
          <w:rFonts w:ascii="Times New Roman" w:hAnsi="Times New Roman"/>
          <w:i/>
          <w:sz w:val="20"/>
        </w:rPr>
        <w:t>Short Form Prospectus</w:t>
      </w:r>
      <w:r>
        <w:rPr>
          <w:rFonts w:ascii="Times New Roman" w:hAnsi="Times New Roman"/>
          <w:sz w:val="20"/>
        </w:rPr>
        <w:t xml:space="preserve"> required to be incorporated by reference into a short form prospectus, including any annual information forms, all material change reports (excluding confidential reports, if any), all annual and interim financial statements and management’s discussion and analysis relating thereto, or information circulars or amendments thereto filed by the Company with any securities commissions or similar regulatory authority in any province or territory of Canada subsequent to the date of this prospectus supplement and prior to the expiry of this prospectus supplement, or the completion of the issuance of common shares pursuant hereto, will be deemed to be incorporated by reference in this prospectus supplement and will automatically update and supersede information contained or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that any document or information incorporated by reference into this prospectus supplement is included in any report on Form 6-K, Form 40-F, Form 20-F, Form 10-K, Form 10-Q or Form 8-K (or any respective successor form) that is filed with or furnished to the SEC by the Company after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prospectus supplement and prior to the termination or completion of the resale offering, such document or information shall be deemed to be incorporated by reference as an exhibit to the U.S. Registration Statement of which this prospectus supplement forms a part. The Company may also incorporate by reference into this prospectus supplement or the U.S. Registration Statement of which it forms a part, other information filed with or furnished to the SEC under the U.S. Exchange Act of 1934, as amended (the “</w:t>
      </w:r>
      <w:r>
        <w:rPr>
          <w:rFonts w:ascii="Times New Roman" w:hAnsi="Times New Roman"/>
          <w:b/>
          <w:sz w:val="20"/>
        </w:rPr>
        <w:t>U.S. Exchange Act</w:t>
      </w:r>
      <w:r>
        <w:rPr>
          <w:rFonts w:ascii="Times New Roman" w:hAnsi="Times New Roman"/>
          <w:sz w:val="20"/>
        </w:rPr>
        <w:t xml:space="preserve">”), provided that information included in any report on Form 6-K or Form 8-K shall be so deemed to be incorporated by reference only if and to the extent expressly provided in such Form 6-K or Form 8-K. </w:t>
      </w:r>
    </w:p>
    <w:p>
      <w:pPr>
        <w:pStyle w:val="TextBody"/>
        <w:bidi w:val="0"/>
        <w:spacing w:before="240" w:after="0"/>
        <w:jc w:val="left"/>
        <w:rPr>
          <w:rFonts w:ascii="Times New Roman" w:hAnsi="Times New Roman"/>
          <w:sz w:val="20"/>
        </w:rPr>
      </w:pPr>
      <w:r>
        <w:rPr>
          <w:rFonts w:ascii="Times New Roman" w:hAnsi="Times New Roman"/>
          <w:sz w:val="20"/>
        </w:rPr>
        <w:t xml:space="preserve">The documents incorporated or deemed to be incorporated herein by reference contain meaningful and material information relating to the Company and readers should review all information contained in this prospectus supplement and the shelf prospectus, and the documents incorporated or deemed to be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supplement, the shelf prospectus or in a document incorporated or deemed to be incorporated by reference herein will be deemed to be modified or superseded for purposes of this resale offering to the extent that a statement contained herein or in any other subsequently filed document that also is or is deemed to be incorporated by reference in this prospectus supplement or the shelf prospectus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a new annual information form and annual consolidated financial statements being filed by the Company with the applicable Canadian securities commissions or similar regulatory authorities in Canada during the period that this prospectus supplement is effective, the previous annual information form, the previous annual consolidated financial statements and all interim consolidated financial statements and in each case the accompanying management’s discussion and analysis of financial condition and results of operations, and material change reports, as applicable, filed prior to the commencement of the financial year of the Company in which such annual information form is filed shall be deemed to no longer be incorporated into this prospectus supplement for purpose of future offers and sales of securities under this prospectus supplement. Upon interim consolidated financial statements and the accompanying management’s discussion and analysis of financial condition and results of operations being filed by the Company with the applicable Canadian securities commissions or similar regulatory authorities during the period that this prospectus supplement is effective, all interim consolidated financial statements and the accompanying management’s discussion and analysis of financial condition and results of operations filed prior to such new interim consolidated financial statements and management’s discussion and analysis of financial condition and results of operations, as applicable, shall be deemed to no longer be incorporated into this prospectus supplement for purposes of future offers and sales of Shares under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References to our website in any documents that are incorporated by reference into this prospectus supplement do not incorporate by reference the information on such website into this prospectus supplement, and we disclaim any such incorporation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343554_7"/>
      <w:bookmarkEnd w:id="9"/>
      <w:r>
        <w:rPr>
          <w:rFonts w:ascii="Times New Roman" w:hAnsi="Times New Roman"/>
          <w:b/>
          <w:sz w:val="20"/>
        </w:rPr>
        <w:t xml:space="preserve">DOCUMENTS FILED AS PART OF THE U.S. REGISTRATION STATEMENT </w:t>
      </w:r>
    </w:p>
    <w:p>
      <w:pPr>
        <w:pStyle w:val="TextBody"/>
        <w:bidi w:val="0"/>
        <w:spacing w:before="240" w:after="0"/>
        <w:jc w:val="left"/>
        <w:rPr>
          <w:rFonts w:ascii="Times New Roman" w:hAnsi="Times New Roman"/>
          <w:sz w:val="20"/>
        </w:rPr>
      </w:pPr>
      <w:r>
        <w:rPr>
          <w:rFonts w:ascii="Times New Roman" w:hAnsi="Times New Roman"/>
          <w:sz w:val="20"/>
        </w:rPr>
        <w:t>In addition to the documents specified in this prospectus supplement and in the accompanying shelf prospectus under “</w:t>
      </w:r>
      <w:r>
        <w:rPr>
          <w:rFonts w:ascii="Times New Roman" w:hAnsi="Times New Roman"/>
          <w:i/>
          <w:sz w:val="20"/>
        </w:rPr>
        <w:t>Documents Incorporated by Reference</w:t>
      </w:r>
      <w:r>
        <w:rPr>
          <w:rFonts w:ascii="Times New Roman" w:hAnsi="Times New Roman"/>
          <w:sz w:val="20"/>
        </w:rPr>
        <w:t xml:space="preserve">”, the following documents have been or will be filed with the SEC as part of the U.S. Registration Statement of which this prospectus supplement and the accompanying shelf prospectus forms a part: (i) powers of attorney from our directors and officers, as applicable; and (ii) the consent of KPMG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343554_8"/>
      <w:bookmarkEnd w:id="1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b/>
          <w:sz w:val="20"/>
        </w:rPr>
        <w:t xml:space="preserve">Investing in the Shares is speculative and involves a high degree of risk. </w:t>
      </w:r>
      <w:r>
        <w:rPr>
          <w:rFonts w:ascii="Times New Roman" w:hAnsi="Times New Roman"/>
          <w:sz w:val="20"/>
        </w:rPr>
        <w:t>Before making an investment decision, prospective purchasers of the Shares should carefully consider the information described in this prospectus supplement, the shelf prospectus and the documents incorporated by reference herein and therein. Some of the risk factors described herein, in the shelf prospectus and in the documents incorporated by reference herein and therein, are interrelated and, consequently, investors should treat such risk factors as a whole. If any event arising from these risks occurs, our business, prospects, financial condition, results of operations and cash flows, and your investment in the Shares could be materially adversely affected. Additional risks and uncertainties of which we currently are unaware or that are unknown or that we currently deem to be immaterial could have a material adverse effect on our current and projected business operations and our financial condition and results of operations. Our Risk Factors are not guarantees that no such conditions exist as of the date of this prospectus supplement and should not be interpreted as an affirmative statement that such risks or conditions have not materialized, in whole or in part. We cannot assure you that we will successfully address any or all of these risks. For additional information in respect of the risks affecting our business, see the section “</w:t>
      </w:r>
      <w:r>
        <w:rPr>
          <w:rFonts w:ascii="Times New Roman" w:hAnsi="Times New Roman"/>
          <w:i/>
          <w:sz w:val="20"/>
        </w:rPr>
        <w:t>Risk Factors</w:t>
      </w:r>
      <w:r>
        <w:rPr>
          <w:rFonts w:ascii="Times New Roman" w:hAnsi="Times New Roman"/>
          <w:sz w:val="20"/>
        </w:rPr>
        <w:t>” of our Annual Information Form, which is incorporated herein by reference and is available under our profile on SEDAR+ at www.sedarplus.ca and as an Exhibit to our Annual Report on Form 40-F on EDGAR at www.sec.gov</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Resale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sale of a substantial number of our Shares held by the Selling Shareholders in the public market could adversely affect the prevailing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We are registering for resale 2,926,000 Shares issued upon exercise of 2,926,000 Warrants that were issued to investors in the Private Placement. Sales of a substantial number of our common shares in the public market (including the Shares), or the perception that such sales might occur, could adversely affect the market price of our common shares. We cannot predict if and when the Selling Shareholders may sell such Shares in the public markets. Furthermore, in the future, we may issue additional common shares or other equity or debt securities convertible into common shares. Any such issuances could result in substantial dilution to our existing shareholders and could cause our share price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Ownership of the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common shares may be volatile and subject to wide fluctuations in response to numerous factors, many of which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fluctuate due to a variety of factors relative to our business,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product candidates or new uses for existing products, significant contracts, commercial relationships or capital commitments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any of our collaborators regarding our product candidates they are developing, including announcements regarding clinical or regulatory decisions or developments of our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any of our product candidates and any products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preclinical testing or clinical trials of our product candidates, leading to a decision or requirement to conduct additional preclinical testing or clinical trials or resulting in a decision to terminate the continued development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of clinical trials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or delays in obtaining or maintaining product approvals or clearances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or reimbursement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collaborations, licenses,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or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including our collaborators, CROs, clinical trial sponsors and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Canada, the United States or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quarterly variations in our financial results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shares by us, our insiders or our shareholders in the future, as well as the overall trading volume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other factors described in the section “</w:t>
            </w:r>
            <w:r>
              <w:rPr>
                <w:rFonts w:ascii="Times New Roman" w:hAnsi="Times New Roman"/>
                <w:i/>
                <w:sz w:val="20"/>
              </w:rPr>
              <w:t>Risk Factors</w:t>
            </w:r>
            <w:r>
              <w:rPr>
                <w:rFonts w:ascii="Times New Roman" w:hAnsi="Times New Roman"/>
                <w:sz w:val="20"/>
              </w:rPr>
              <w:t xml:space="preserve">” of our Annual Information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these and other factors on the market price of the common shares on the TSX, Nasdaq, or any other exchange that we list securities on in the future, cannot be predicted. There can be no assurance that the market price of the common shares will not experience significant fluctuations in the future, including fluctuations that are unrelated to our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may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Shares is speculative and may result in the loss of an investor’s entire investment. Only investors who are experienced in high-risk investments and who can afford to lose their entire investment should consider an investment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dividends. </w:t>
      </w:r>
    </w:p>
    <w:p>
      <w:pPr>
        <w:pStyle w:val="TextBody"/>
        <w:bidi w:val="0"/>
        <w:spacing w:before="120" w:after="0"/>
        <w:jc w:val="left"/>
        <w:rPr>
          <w:rFonts w:ascii="Times New Roman" w:hAnsi="Times New Roman"/>
          <w:sz w:val="20"/>
        </w:rPr>
      </w:pPr>
      <w:r>
        <w:rPr>
          <w:rFonts w:ascii="Times New Roman" w:hAnsi="Times New Roman"/>
          <w:sz w:val="20"/>
        </w:rPr>
        <w:t xml:space="preserve">To date, the Company has not paid any dividends on the outstanding common shares. We currently intend to retain future earnings to finance the operation, development and expansion of our business. We do not anticipate paying cash dividends on the common shares in the foreseeable future. Any decision to pay dividends on its shares will be made at the discretion of the Board and will depend on the Company’s earnings, financial requirements and other conditions existing at such time, including potential restrictions on paying dividends pursuant to any effective credit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existing executive officers and directors own a significant percentage of common shares and may have a significant impact over matters submitted to the Company’s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current executive officers and directors own approximately 9.70% of the issued common shares as of June 30, 2026. As a result, these shareholders, if they acted together, could significantly impact all matters requiring approval by the Company’s shareholders, including the election of directors and the approval of mergers or other business combination transactions. The interests of these shareholders may not always coincide with the Company’s interests or the interests of other shareholders. This may also prevent or discourage unsolicited acquisition proposals or offers for the common shares that other shareholders may feel are in their best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shares by our existing shareholders could cause our share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securities laws, the Company’s officers, directors and significant shareholders may sell some or all of their common shares in the future. No prediction can be made as to the effect, if any, such future sales of common shares will have on the market price of the common shares prevailing from time to time. However, the future sale of a substantial number of common shares by the Company’s officers, directors and significant shareholders or the perception that such sales could occur, could adversely affect prevailing market prices for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raise additional financing in the future which may dilute our share capital. </w:t>
      </w:r>
    </w:p>
    <w:p>
      <w:pPr>
        <w:pStyle w:val="TextBody"/>
        <w:bidi w:val="0"/>
        <w:spacing w:before="120" w:after="0"/>
        <w:jc w:val="left"/>
        <w:rPr>
          <w:rFonts w:ascii="Times New Roman" w:hAnsi="Times New Roman"/>
          <w:sz w:val="20"/>
        </w:rPr>
      </w:pPr>
      <w:r>
        <w:rPr>
          <w:rFonts w:ascii="Times New Roman" w:hAnsi="Times New Roman"/>
          <w:sz w:val="20"/>
        </w:rPr>
        <w:t>Our notice of articles and articles (the “</w:t>
      </w:r>
      <w:r>
        <w:rPr>
          <w:rFonts w:ascii="Times New Roman" w:hAnsi="Times New Roman"/>
          <w:b/>
          <w:sz w:val="20"/>
        </w:rPr>
        <w:t>Articles</w:t>
      </w:r>
      <w:r>
        <w:rPr>
          <w:rFonts w:ascii="Times New Roman" w:hAnsi="Times New Roman"/>
          <w:sz w:val="20"/>
        </w:rPr>
        <w:t xml:space="preserve">”) permit the issuance of an unlimited number of common shares. Future issuances of common shares will result in dilution to the existing shareholders. Additionally, future sales of the common shares into the public market may lower the market price that may result in losses to our shareholders. We may, from time to time, issue stock options to purchase additional common shares in accordance with the policies of the TSX and Nasdaq. Most of these common shares, including the common shares to be issued upon exercise of options, are freely tradable or will be freely tradeable after a four-month restriction period. Sales of substantial amounts of the common shares into the public market, or even the perception by the market that such sales may occur, may lower the market price of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common shares will be influenced in part by the research and reports that securities or industry analysts may publish about us, our business, our market or our competitors. If one or more securities analysts initiate research with an unfavorable rating or downgrade our common shares, provide a more favorable recommendation about our competitors or publish inaccurate or unfavorable research about our business, our common shares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shares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343554_9"/>
      <w:bookmarkEnd w:id="11"/>
      <w:r>
        <w:rPr>
          <w:rFonts w:ascii="Times New Roman" w:hAnsi="Times New Roman"/>
          <w:b/>
          <w:sz w:val="20"/>
        </w:rPr>
        <w:t xml:space="preserve">DESCRIPTION OF THE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PK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two distinct clinical development programs, one targeting EoE and the second targeting chronic OA pain in the knee. Both programs are broadly based upon the same API,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IA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rPr>
      </w:pPr>
      <w:r>
        <w:rPr>
          <w:rFonts w:ascii="Times New Roman" w:hAnsi="Times New Roman"/>
          <w:sz w:val="20"/>
        </w:rPr>
        <w:t xml:space="preserve">EoE has experienced a global increase in incidence and prevalence over the last decades, particularly in the US and Europe. EoE was classified as rare by NORD, however a 5- fold increase in the prevalence of EoE reported between 2009 and 2022, has resulted in the disease 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conducting a Phase 1b/2 clinical trial with EP-104GI in Canada, the Netherlands, Australia, the UK, Switzerland and New Zealand. We also received pre-IND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2025 and 2026, the Company announced interim data from the RESOLVE Phase 1b/2a clinical trial evaluating the safety and efficacy of EP-104GI for the treatment of EoE. The data to date from all cohorts suggest that EP-104GI continues to be released into the esophagus at a relatively constant rate from week 2 through month 12, and that EP- 104GI will likely be provided on an annual dosing interval.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8, 2025, the Company announced dosing of the first patient in a Phase 2b, randomized, placebo-controlled, dose-optimization portion of the RESOLVE trial. The Phase 2b portion will enroll approximately 120 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rPr>
      </w:pPr>
      <w:r>
        <w:rPr>
          <w:rFonts w:ascii="Times New Roman" w:hAnsi="Times New Roman"/>
          <w:sz w:val="2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240" w:after="0"/>
        <w:jc w:val="left"/>
        <w:rPr>
          <w:rFonts w:ascii="Times New Roman" w:hAnsi="Times New Roman"/>
          <w:sz w:val="20"/>
        </w:rPr>
      </w:pPr>
      <w:r>
        <w:rPr>
          <w:rFonts w:ascii="Times New Roman" w:hAnsi="Times New Roman"/>
          <w:sz w:val="20"/>
        </w:rPr>
        <w:t>Further information regarding the business of the Company can be found in our Annual Information Form and the other documents incorporated by reference into this prospectus available on SEDAR+ at www.sedarplus.ca and on EDGAR at www.sec.gov. See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343554_10"/>
      <w:bookmarkEnd w:id="12"/>
      <w:r>
        <w:rPr>
          <w:rFonts w:ascii="Times New Roman" w:hAnsi="Times New Roman"/>
          <w:b/>
          <w:sz w:val="20"/>
        </w:rPr>
        <w:t xml:space="preserve">CONSOLIDATED CAPITALIZATION </w:t>
      </w:r>
    </w:p>
    <w:p>
      <w:pPr>
        <w:pStyle w:val="TextBody"/>
        <w:bidi w:val="0"/>
        <w:spacing w:before="240" w:after="0"/>
        <w:jc w:val="left"/>
        <w:rPr>
          <w:rFonts w:ascii="Times New Roman" w:hAnsi="Times New Roman"/>
          <w:sz w:val="20"/>
        </w:rPr>
      </w:pPr>
      <w:r>
        <w:rPr>
          <w:rFonts w:ascii="Times New Roman" w:hAnsi="Times New Roman"/>
          <w:sz w:val="20"/>
        </w:rPr>
        <w:t>Other than as set out in “</w:t>
      </w:r>
      <w:r>
        <w:rPr>
          <w:rFonts w:ascii="Times New Roman" w:hAnsi="Times New Roman"/>
          <w:i/>
          <w:sz w:val="20"/>
        </w:rPr>
        <w:t>Prior Sales</w:t>
      </w:r>
      <w:r>
        <w:rPr>
          <w:rFonts w:ascii="Times New Roman" w:hAnsi="Times New Roman"/>
          <w:sz w:val="20"/>
        </w:rPr>
        <w:t xml:space="preserve">”, there has not been any material change in our share and loan capital, on a consolidated basis, since our most recently filed unaudited interim consolidated financial statements for the three and six months ended June 30, 2026. There will not be any change in the consolidated capitalization as a result of the resale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343554_11"/>
      <w:bookmarkEnd w:id="13"/>
      <w:r>
        <w:rPr>
          <w:rFonts w:ascii="Times New Roman" w:hAnsi="Times New Roman"/>
          <w:b/>
          <w:sz w:val="20"/>
        </w:rPr>
        <w:t xml:space="preserve">PRIOR SALES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below, during the 12-month period before the date of this prospectus supplement, we have not issued any common shares or any securities that are convertible or exchangeable into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We granted options under our stock option plan that are each exercisable to purchase one common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82"/>
        <w:gridCol w:w="548"/>
        <w:gridCol w:w="150"/>
        <w:gridCol w:w="2450"/>
        <w:gridCol w:w="60"/>
        <w:gridCol w:w="548"/>
        <w:gridCol w:w="593"/>
        <w:gridCol w:w="860"/>
        <w:gridCol w:w="64"/>
      </w:tblGrid>
      <w:tr>
        <w:trPr/>
        <w:tc>
          <w:tcPr>
            <w:tcW w:w="2482" w:type="dxa"/>
            <w:tcBorders/>
            <w:vAlign w:val="center"/>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4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grant</w:t>
            </w:r>
          </w:p>
        </w:tc>
        <w:tc>
          <w:tcPr>
            <w:tcW w:w="548"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 issued</w:t>
            </w:r>
          </w:p>
        </w:tc>
        <w:tc>
          <w:tcPr>
            <w:tcW w:w="60"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option)</w:t>
            </w:r>
          </w:p>
        </w:tc>
        <w:tc>
          <w:tcPr>
            <w:tcW w:w="64" w:type="dxa"/>
            <w:tcBorders/>
            <w:vAlign w:val="bottom"/>
          </w:tcPr>
          <w:p>
            <w:pPr>
              <w:pStyle w:val="TableContents"/>
              <w:bidi w:val="0"/>
              <w:spacing w:before="0" w:after="283"/>
              <w:jc w:val="left"/>
              <w:rPr/>
            </w:pPr>
            <w:r>
              <w:rPr/>
              <w:t> </w:t>
            </w:r>
          </w:p>
        </w:tc>
      </w:tr>
      <w:tr>
        <w:trPr/>
        <w:tc>
          <w:tcPr>
            <w:tcW w:w="2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15, 2025</w:t>
            </w:r>
          </w:p>
        </w:tc>
        <w:tc>
          <w:tcPr>
            <w:tcW w:w="5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1,880,950</w:t>
            </w:r>
          </w:p>
        </w:tc>
        <w:tc>
          <w:tcPr>
            <w:tcW w:w="60"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left"/>
              <w:rPr/>
            </w:pPr>
            <w:r>
              <w:rPr/>
              <w:t>C$</w:t>
            </w:r>
          </w:p>
        </w:tc>
        <w:tc>
          <w:tcPr>
            <w:tcW w:w="860" w:type="dxa"/>
            <w:tcBorders/>
            <w:shd w:fill="CCEEFF" w:val="clear"/>
            <w:vAlign w:val="bottom"/>
          </w:tcPr>
          <w:p>
            <w:pPr>
              <w:pStyle w:val="TableContents"/>
              <w:bidi w:val="0"/>
              <w:spacing w:before="0" w:after="283"/>
              <w:jc w:val="right"/>
              <w:rPr/>
            </w:pPr>
            <w:r>
              <w:rPr/>
              <w:t>8.63</w:t>
            </w:r>
          </w:p>
        </w:tc>
        <w:tc>
          <w:tcPr>
            <w:tcW w:w="64" w:type="dxa"/>
            <w:tcBorders/>
            <w:shd w:fill="CCEEFF" w:val="clear"/>
            <w:vAlign w:val="bottom"/>
          </w:tcPr>
          <w:p>
            <w:pPr>
              <w:pStyle w:val="TableContents"/>
              <w:bidi w:val="0"/>
              <w:spacing w:before="0" w:after="283"/>
              <w:jc w:val="left"/>
              <w:rPr/>
            </w:pPr>
            <w:r>
              <w:rPr/>
              <w:t> </w:t>
            </w:r>
          </w:p>
        </w:tc>
      </w:tr>
      <w:tr>
        <w:trPr/>
        <w:tc>
          <w:tcPr>
            <w:tcW w:w="2482" w:type="dxa"/>
            <w:tcBorders/>
          </w:tcPr>
          <w:p>
            <w:pPr>
              <w:pStyle w:val="TableContents"/>
              <w:bidi w:val="0"/>
              <w:spacing w:before="0" w:after="0"/>
              <w:jc w:val="left"/>
              <w:rPr>
                <w:rFonts w:ascii="Times New Roman" w:hAnsi="Times New Roman"/>
                <w:sz w:val="20"/>
              </w:rPr>
            </w:pPr>
            <w:r>
              <w:rPr>
                <w:rFonts w:ascii="Times New Roman" w:hAnsi="Times New Roman"/>
                <w:sz w:val="20"/>
              </w:rPr>
              <w:t>March 27, 2026</w:t>
            </w:r>
          </w:p>
        </w:tc>
        <w:tc>
          <w:tcPr>
            <w:tcW w:w="5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121,350</w:t>
            </w:r>
          </w:p>
        </w:tc>
        <w:tc>
          <w:tcPr>
            <w:tcW w:w="60"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C$</w:t>
            </w:r>
          </w:p>
        </w:tc>
        <w:tc>
          <w:tcPr>
            <w:tcW w:w="860" w:type="dxa"/>
            <w:tcBorders/>
            <w:vAlign w:val="bottom"/>
          </w:tcPr>
          <w:p>
            <w:pPr>
              <w:pStyle w:val="TableContents"/>
              <w:bidi w:val="0"/>
              <w:spacing w:before="0" w:after="283"/>
              <w:jc w:val="right"/>
              <w:rPr/>
            </w:pPr>
            <w:r>
              <w:rPr/>
              <w:t>9.44</w:t>
            </w:r>
          </w:p>
        </w:tc>
        <w:tc>
          <w:tcPr>
            <w:tcW w:w="64" w:type="dxa"/>
            <w:tcBorders/>
            <w:vAlign w:val="bottom"/>
          </w:tcPr>
          <w:p>
            <w:pPr>
              <w:pStyle w:val="TableContents"/>
              <w:bidi w:val="0"/>
              <w:spacing w:before="0" w:after="283"/>
              <w:jc w:val="left"/>
              <w:rPr/>
            </w:pPr>
            <w:r>
              <w:rPr/>
              <w:t> </w:t>
            </w:r>
          </w:p>
        </w:tc>
      </w:tr>
      <w:tr>
        <w:trPr/>
        <w:tc>
          <w:tcPr>
            <w:tcW w:w="2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15, 2026</w:t>
            </w:r>
          </w:p>
        </w:tc>
        <w:tc>
          <w:tcPr>
            <w:tcW w:w="5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507,750</w:t>
            </w:r>
          </w:p>
        </w:tc>
        <w:tc>
          <w:tcPr>
            <w:tcW w:w="60"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left"/>
              <w:rPr/>
            </w:pPr>
            <w:r>
              <w:rPr/>
              <w:t>C$</w:t>
            </w:r>
          </w:p>
        </w:tc>
        <w:tc>
          <w:tcPr>
            <w:tcW w:w="860" w:type="dxa"/>
            <w:tcBorders/>
            <w:shd w:fill="CCEEFF" w:val="clear"/>
            <w:vAlign w:val="bottom"/>
          </w:tcPr>
          <w:p>
            <w:pPr>
              <w:pStyle w:val="TableContents"/>
              <w:bidi w:val="0"/>
              <w:spacing w:before="0" w:after="283"/>
              <w:jc w:val="right"/>
              <w:rPr/>
            </w:pPr>
            <w:r>
              <w:rPr/>
              <w:t>8.45</w:t>
            </w:r>
          </w:p>
        </w:tc>
        <w:tc>
          <w:tcPr>
            <w:tcW w:w="64" w:type="dxa"/>
            <w:tcBorders/>
            <w:shd w:fill="CCEEFF" w:val="clear"/>
            <w:vAlign w:val="bottom"/>
          </w:tcPr>
          <w:p>
            <w:pPr>
              <w:pStyle w:val="TableContents"/>
              <w:bidi w:val="0"/>
              <w:spacing w:before="0" w:after="283"/>
              <w:jc w:val="left"/>
              <w:rPr/>
            </w:pPr>
            <w:r>
              <w:rPr/>
              <w:t> </w:t>
            </w:r>
          </w:p>
        </w:tc>
      </w:tr>
      <w:tr>
        <w:trPr/>
        <w:tc>
          <w:tcPr>
            <w:tcW w:w="2482" w:type="dxa"/>
            <w:tcBorders/>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54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335,750</w:t>
            </w:r>
          </w:p>
        </w:tc>
        <w:tc>
          <w:tcPr>
            <w:tcW w:w="60"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C$</w:t>
            </w:r>
          </w:p>
        </w:tc>
        <w:tc>
          <w:tcPr>
            <w:tcW w:w="860" w:type="dxa"/>
            <w:tcBorders/>
            <w:vAlign w:val="bottom"/>
          </w:tcPr>
          <w:p>
            <w:pPr>
              <w:pStyle w:val="TableContents"/>
              <w:bidi w:val="0"/>
              <w:spacing w:before="0" w:after="283"/>
              <w:jc w:val="right"/>
              <w:rPr/>
            </w:pPr>
            <w:r>
              <w:rPr/>
              <w:t>8.89</w:t>
            </w:r>
          </w:p>
        </w:tc>
        <w:tc>
          <w:tcPr>
            <w:tcW w:w="64" w:type="dxa"/>
            <w:tcBorders/>
            <w:vAlign w:val="bottom"/>
          </w:tcPr>
          <w:p>
            <w:pPr>
              <w:pStyle w:val="TableContents"/>
              <w:bidi w:val="0"/>
              <w:spacing w:before="0" w:after="283"/>
              <w:jc w:val="left"/>
              <w:rPr/>
            </w:pPr>
            <w:r>
              <w:rPr/>
              <w:t> </w:t>
            </w:r>
          </w:p>
        </w:tc>
      </w:tr>
      <w:tr>
        <w:trPr/>
        <w:tc>
          <w:tcPr>
            <w:tcW w:w="2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13, 2026</w:t>
            </w:r>
          </w:p>
        </w:tc>
        <w:tc>
          <w:tcPr>
            <w:tcW w:w="54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left"/>
              <w:rPr/>
            </w:pPr>
            <w:r>
              <w:rPr/>
              <w:t>C$</w:t>
            </w:r>
          </w:p>
        </w:tc>
        <w:tc>
          <w:tcPr>
            <w:tcW w:w="860" w:type="dxa"/>
            <w:tcBorders/>
            <w:shd w:fill="CCEEFF" w:val="clear"/>
            <w:vAlign w:val="bottom"/>
          </w:tcPr>
          <w:p>
            <w:pPr>
              <w:pStyle w:val="TableContents"/>
              <w:bidi w:val="0"/>
              <w:spacing w:before="0" w:after="283"/>
              <w:jc w:val="right"/>
              <w:rPr/>
            </w:pPr>
            <w:r>
              <w:rPr/>
              <w:t>9.46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granted restricted stock units under our omnibus incentive plan that are each exercisable to purchase one common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12"/>
        <w:gridCol w:w="495"/>
        <w:gridCol w:w="141"/>
        <w:gridCol w:w="2339"/>
        <w:gridCol w:w="60"/>
        <w:gridCol w:w="495"/>
        <w:gridCol w:w="684"/>
        <w:gridCol w:w="1264"/>
        <w:gridCol w:w="65"/>
      </w:tblGrid>
      <w:tr>
        <w:trPr/>
        <w:tc>
          <w:tcPr>
            <w:tcW w:w="2212"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grant</w:t>
            </w:r>
          </w:p>
        </w:tc>
        <w:tc>
          <w:tcPr>
            <w:tcW w:w="495" w:type="dxa"/>
            <w:tcBorders/>
            <w:vAlign w:val="bottom"/>
          </w:tcPr>
          <w:p>
            <w:pPr>
              <w:pStyle w:val="TableContents"/>
              <w:bidi w:val="0"/>
              <w:spacing w:before="0" w:after="283"/>
              <w:jc w:val="left"/>
              <w:rPr/>
            </w:pPr>
            <w:r>
              <w:rPr/>
              <w:t>  </w:t>
            </w:r>
          </w:p>
        </w:tc>
        <w:tc>
          <w:tcPr>
            <w:tcW w:w="2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RSUs issued</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pPr>
            <w:r>
              <w:rPr>
                <w:b/>
              </w:rPr>
              <w:t>Fair Market Value</w:t>
            </w:r>
            <w:r>
              <w:rPr/>
              <w:br/>
            </w:r>
            <w:r>
              <w:rPr>
                <w:b/>
              </w:rPr>
              <w:t>(per RSU)</w:t>
            </w:r>
          </w:p>
        </w:tc>
        <w:tc>
          <w:tcPr>
            <w:tcW w:w="65"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14, 2025</w:t>
            </w:r>
          </w:p>
        </w:tc>
        <w:tc>
          <w:tcPr>
            <w:tcW w:w="49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339"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pPr>
            <w:r>
              <w:rPr/>
              <w:t>C$</w:t>
            </w:r>
          </w:p>
        </w:tc>
        <w:tc>
          <w:tcPr>
            <w:tcW w:w="1264" w:type="dxa"/>
            <w:tcBorders/>
            <w:shd w:fill="CCEEFF" w:val="clear"/>
            <w:vAlign w:val="bottom"/>
          </w:tcPr>
          <w:p>
            <w:pPr>
              <w:pStyle w:val="TableContents"/>
              <w:bidi w:val="0"/>
              <w:spacing w:before="0" w:after="283"/>
              <w:jc w:val="right"/>
              <w:rPr/>
            </w:pPr>
            <w:r>
              <w:rPr/>
              <w:t>8.78</w:t>
            </w:r>
          </w:p>
        </w:tc>
        <w:tc>
          <w:tcPr>
            <w:tcW w:w="65"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December 15, 2025</w:t>
            </w:r>
          </w:p>
        </w:tc>
        <w:tc>
          <w:tcPr>
            <w:tcW w:w="49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339" w:type="dxa"/>
            <w:tcBorders/>
            <w:vAlign w:val="bottom"/>
          </w:tcPr>
          <w:p>
            <w:pPr>
              <w:pStyle w:val="TableContents"/>
              <w:bidi w:val="0"/>
              <w:spacing w:before="0" w:after="283"/>
              <w:jc w:val="right"/>
              <w:rPr/>
            </w:pPr>
            <w:r>
              <w:rPr/>
              <w:t>1,209,600</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pPr>
            <w:r>
              <w:rPr/>
              <w:t>C$</w:t>
            </w:r>
          </w:p>
        </w:tc>
        <w:tc>
          <w:tcPr>
            <w:tcW w:w="1264" w:type="dxa"/>
            <w:tcBorders/>
            <w:vAlign w:val="bottom"/>
          </w:tcPr>
          <w:p>
            <w:pPr>
              <w:pStyle w:val="TableContents"/>
              <w:bidi w:val="0"/>
              <w:spacing w:before="0" w:after="283"/>
              <w:jc w:val="right"/>
              <w:rPr/>
            </w:pPr>
            <w:r>
              <w:rPr/>
              <w:t>8.63</w:t>
            </w:r>
          </w:p>
        </w:tc>
        <w:tc>
          <w:tcPr>
            <w:tcW w:w="65"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27, 2026</w:t>
            </w:r>
          </w:p>
        </w:tc>
        <w:tc>
          <w:tcPr>
            <w:tcW w:w="49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339" w:type="dxa"/>
            <w:tcBorders/>
            <w:shd w:fill="CCEEFF" w:val="clear"/>
            <w:vAlign w:val="bottom"/>
          </w:tcPr>
          <w:p>
            <w:pPr>
              <w:pStyle w:val="TableContents"/>
              <w:bidi w:val="0"/>
              <w:spacing w:before="0" w:after="283"/>
              <w:jc w:val="right"/>
              <w:rPr/>
            </w:pPr>
            <w:r>
              <w:rPr/>
              <w:t>44,150</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pPr>
            <w:r>
              <w:rPr/>
              <w:t>C$</w:t>
            </w:r>
          </w:p>
        </w:tc>
        <w:tc>
          <w:tcPr>
            <w:tcW w:w="1264" w:type="dxa"/>
            <w:tcBorders/>
            <w:shd w:fill="CCEEFF" w:val="clear"/>
            <w:vAlign w:val="bottom"/>
          </w:tcPr>
          <w:p>
            <w:pPr>
              <w:pStyle w:val="TableContents"/>
              <w:bidi w:val="0"/>
              <w:spacing w:before="0" w:after="283"/>
              <w:jc w:val="right"/>
              <w:rPr/>
            </w:pPr>
            <w:r>
              <w:rPr/>
              <w:t>9.44</w:t>
            </w:r>
          </w:p>
        </w:tc>
        <w:tc>
          <w:tcPr>
            <w:tcW w:w="65"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June 15, 2026</w:t>
            </w:r>
          </w:p>
        </w:tc>
        <w:tc>
          <w:tcPr>
            <w:tcW w:w="49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339" w:type="dxa"/>
            <w:tcBorders/>
            <w:vAlign w:val="bottom"/>
          </w:tcPr>
          <w:p>
            <w:pPr>
              <w:pStyle w:val="TableContents"/>
              <w:bidi w:val="0"/>
              <w:spacing w:before="0" w:after="283"/>
              <w:jc w:val="right"/>
              <w:rPr/>
            </w:pPr>
            <w:r>
              <w:rPr/>
              <w:t>151,000</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pPr>
            <w:r>
              <w:rPr/>
              <w:t>C$</w:t>
            </w:r>
          </w:p>
        </w:tc>
        <w:tc>
          <w:tcPr>
            <w:tcW w:w="1264" w:type="dxa"/>
            <w:tcBorders/>
            <w:vAlign w:val="bottom"/>
          </w:tcPr>
          <w:p>
            <w:pPr>
              <w:pStyle w:val="TableContents"/>
              <w:bidi w:val="0"/>
              <w:spacing w:before="0" w:after="283"/>
              <w:jc w:val="right"/>
              <w:rPr/>
            </w:pPr>
            <w:r>
              <w:rPr/>
              <w:t>11.05</w:t>
            </w:r>
          </w:p>
        </w:tc>
        <w:tc>
          <w:tcPr>
            <w:tcW w:w="65"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49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339" w:type="dxa"/>
            <w:tcBorders/>
            <w:shd w:fill="CCEEFF" w:val="clear"/>
            <w:vAlign w:val="bottom"/>
          </w:tcPr>
          <w:p>
            <w:pPr>
              <w:pStyle w:val="TableContents"/>
              <w:bidi w:val="0"/>
              <w:spacing w:before="0" w:after="283"/>
              <w:jc w:val="right"/>
              <w:rPr/>
            </w:pPr>
            <w:r>
              <w:rPr/>
              <w:t>112,700</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pPr>
            <w:r>
              <w:rPr/>
              <w:t>C$</w:t>
            </w:r>
          </w:p>
        </w:tc>
        <w:tc>
          <w:tcPr>
            <w:tcW w:w="1264" w:type="dxa"/>
            <w:tcBorders/>
            <w:shd w:fill="CCEEFF" w:val="clear"/>
            <w:vAlign w:val="bottom"/>
          </w:tcPr>
          <w:p>
            <w:pPr>
              <w:pStyle w:val="TableContents"/>
              <w:bidi w:val="0"/>
              <w:spacing w:before="0" w:after="283"/>
              <w:jc w:val="right"/>
              <w:rPr/>
            </w:pPr>
            <w:r>
              <w:rPr/>
              <w:t>8.89</w:t>
            </w:r>
          </w:p>
        </w:tc>
        <w:tc>
          <w:tcPr>
            <w:tcW w:w="65"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July 13, 2026</w:t>
            </w:r>
          </w:p>
        </w:tc>
        <w:tc>
          <w:tcPr>
            <w:tcW w:w="49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339" w:type="dxa"/>
            <w:tcBorders/>
            <w:vAlign w:val="bottom"/>
          </w:tcPr>
          <w:p>
            <w:pPr>
              <w:pStyle w:val="TableContents"/>
              <w:bidi w:val="0"/>
              <w:spacing w:before="0" w:after="283"/>
              <w:jc w:val="right"/>
              <w:rPr/>
            </w:pPr>
            <w:r>
              <w:rPr/>
              <w:t>70,000</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pPr>
            <w:r>
              <w:rPr/>
              <w:t>C$</w:t>
            </w:r>
          </w:p>
        </w:tc>
        <w:tc>
          <w:tcPr>
            <w:tcW w:w="1264" w:type="dxa"/>
            <w:tcBorders/>
            <w:vAlign w:val="bottom"/>
          </w:tcPr>
          <w:p>
            <w:pPr>
              <w:pStyle w:val="TableContents"/>
              <w:bidi w:val="0"/>
              <w:spacing w:before="0" w:after="283"/>
              <w:jc w:val="right"/>
              <w:rPr/>
            </w:pPr>
            <w:r>
              <w:rPr/>
              <w:t>9.46</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issued common shares pursuant to the exercise of stock options under our stock option plan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083"/>
        <w:gridCol w:w="499"/>
        <w:gridCol w:w="203"/>
        <w:gridCol w:w="2351"/>
        <w:gridCol w:w="60"/>
        <w:gridCol w:w="499"/>
        <w:gridCol w:w="813"/>
        <w:gridCol w:w="1185"/>
        <w:gridCol w:w="62"/>
      </w:tblGrid>
      <w:tr>
        <w:trPr/>
        <w:tc>
          <w:tcPr>
            <w:tcW w:w="2083"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0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499" w:type="dxa"/>
            <w:tcBorders/>
            <w:vAlign w:val="bottom"/>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common share)</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14, 2025</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8.00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November 14, 2025</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1, 2025</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December 1, 2025</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23,375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1, 2025</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19,000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December 8, 2025</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5.05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9, 2025</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5.05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December 16, 2025</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8,750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30, 2025</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January 21,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20,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March 16,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16,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March 16,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8,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April 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2,625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5.42</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13,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April 13,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13,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3.48</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April 13,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14,250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083"/>
        <w:gridCol w:w="499"/>
        <w:gridCol w:w="203"/>
        <w:gridCol w:w="2351"/>
        <w:gridCol w:w="60"/>
        <w:gridCol w:w="499"/>
        <w:gridCol w:w="813"/>
        <w:gridCol w:w="1185"/>
        <w:gridCol w:w="62"/>
      </w:tblGrid>
      <w:tr>
        <w:trPr/>
        <w:tc>
          <w:tcPr>
            <w:tcW w:w="2083"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0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499" w:type="dxa"/>
            <w:tcBorders/>
            <w:vAlign w:val="bottom"/>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common share)</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April 14,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6,188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5.42</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6,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7,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525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7,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7,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7,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1,950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8,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2,750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8,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4,400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14,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May 15,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2,900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25,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7,125</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10,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1.90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15,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15,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1,950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23,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23,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2,250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4,125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10,950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3,750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5.05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700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2,588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5.05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26,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4,125</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June 26,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3.48</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8.00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2,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20,100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15,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17,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21,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1.90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22,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33,000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1.90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22,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2,640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23,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27,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27,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29,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18,055</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30,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30,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3.85</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July 31,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4,146</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3.96</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4,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40,000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3,100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083"/>
        <w:gridCol w:w="499"/>
        <w:gridCol w:w="203"/>
        <w:gridCol w:w="2351"/>
        <w:gridCol w:w="60"/>
        <w:gridCol w:w="499"/>
        <w:gridCol w:w="813"/>
        <w:gridCol w:w="1185"/>
        <w:gridCol w:w="62"/>
      </w:tblGrid>
      <w:tr>
        <w:trPr/>
        <w:tc>
          <w:tcPr>
            <w:tcW w:w="2083"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0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499" w:type="dxa"/>
            <w:tcBorders/>
            <w:vAlign w:val="bottom"/>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common share)</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2,300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32,659</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6,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20,499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6,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17,260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7,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7,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11,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5.42</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11,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5,152</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12,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19,241</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12,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13,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24,848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5.14</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14,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59,600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18,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8.00</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19,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10,683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59,820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24,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12,162</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8.63</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25,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25,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5.05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26,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34,143</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28,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28,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6,750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3.96</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28,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2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31, 2026</w:t>
            </w:r>
          </w:p>
        </w:tc>
        <w:tc>
          <w:tcPr>
            <w:tcW w:w="49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left"/>
              <w:rPr/>
            </w:pPr>
            <w:r>
              <w:rPr/>
              <w:t>C$</w:t>
            </w:r>
          </w:p>
        </w:tc>
        <w:tc>
          <w:tcPr>
            <w:tcW w:w="1185" w:type="dxa"/>
            <w:tcBorders/>
            <w:shd w:fill="CCEEFF" w:val="clear"/>
            <w:vAlign w:val="bottom"/>
          </w:tcPr>
          <w:p>
            <w:pPr>
              <w:pStyle w:val="TableContents"/>
              <w:bidi w:val="0"/>
              <w:spacing w:before="0" w:after="283"/>
              <w:jc w:val="right"/>
              <w:rPr/>
            </w:pPr>
            <w:r>
              <w:rPr/>
              <w:t>8.63</w:t>
            </w:r>
          </w:p>
        </w:tc>
        <w:tc>
          <w:tcPr>
            <w:tcW w:w="62" w:type="dxa"/>
            <w:tcBorders/>
            <w:shd w:fill="CCEEFF" w:val="clear"/>
            <w:vAlign w:val="bottom"/>
          </w:tcPr>
          <w:p>
            <w:pPr>
              <w:pStyle w:val="TableContents"/>
              <w:bidi w:val="0"/>
              <w:spacing w:before="0" w:after="283"/>
              <w:jc w:val="left"/>
              <w:rPr/>
            </w:pPr>
            <w:r>
              <w:rPr/>
              <w:t> </w:t>
            </w:r>
          </w:p>
        </w:tc>
      </w:tr>
      <w:tr>
        <w:trPr/>
        <w:tc>
          <w:tcPr>
            <w:tcW w:w="2083" w:type="dxa"/>
            <w:tcBorders/>
          </w:tcPr>
          <w:p>
            <w:pPr>
              <w:pStyle w:val="TableContents"/>
              <w:bidi w:val="0"/>
              <w:spacing w:before="0" w:after="0"/>
              <w:jc w:val="left"/>
              <w:rPr>
                <w:rFonts w:ascii="Times New Roman" w:hAnsi="Times New Roman"/>
                <w:sz w:val="20"/>
              </w:rPr>
            </w:pPr>
            <w:r>
              <w:rPr>
                <w:rFonts w:ascii="Times New Roman" w:hAnsi="Times New Roman"/>
                <w:sz w:val="20"/>
              </w:rPr>
              <w:t>August 31, 2026</w:t>
            </w:r>
          </w:p>
        </w:tc>
        <w:tc>
          <w:tcPr>
            <w:tcW w:w="49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1" w:type="dxa"/>
            <w:tcBorders/>
            <w:vAlign w:val="bottom"/>
          </w:tcPr>
          <w:p>
            <w:pPr>
              <w:pStyle w:val="TableContents"/>
              <w:bidi w:val="0"/>
              <w:spacing w:before="0" w:after="283"/>
              <w:jc w:val="right"/>
              <w:rPr/>
            </w:pPr>
            <w:r>
              <w:rPr/>
              <w:t>6,500</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C$</w:t>
            </w:r>
          </w:p>
        </w:tc>
        <w:tc>
          <w:tcPr>
            <w:tcW w:w="1185" w:type="dxa"/>
            <w:tcBorders/>
            <w:vAlign w:val="bottom"/>
          </w:tcPr>
          <w:p>
            <w:pPr>
              <w:pStyle w:val="TableContents"/>
              <w:bidi w:val="0"/>
              <w:spacing w:before="0" w:after="283"/>
              <w:jc w:val="right"/>
              <w:rPr/>
            </w:pPr>
            <w:r>
              <w:rPr/>
              <w:t>5.14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issued common shares pursuant to the exercise of warrants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34"/>
        <w:gridCol w:w="509"/>
        <w:gridCol w:w="175"/>
        <w:gridCol w:w="2438"/>
        <w:gridCol w:w="60"/>
        <w:gridCol w:w="509"/>
        <w:gridCol w:w="447"/>
        <w:gridCol w:w="1019"/>
        <w:gridCol w:w="64"/>
      </w:tblGrid>
      <w:tr>
        <w:trPr/>
        <w:tc>
          <w:tcPr>
            <w:tcW w:w="2534"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509" w:type="dxa"/>
            <w:tcBorders/>
            <w:vAlign w:val="bottom"/>
          </w:tcPr>
          <w:p>
            <w:pPr>
              <w:pStyle w:val="TableContents"/>
              <w:bidi w:val="0"/>
              <w:spacing w:before="0" w:after="283"/>
              <w:jc w:val="left"/>
              <w:rPr/>
            </w:pPr>
            <w:r>
              <w:rPr/>
              <w:t>  </w:t>
            </w:r>
          </w:p>
        </w:tc>
        <w:tc>
          <w:tcPr>
            <w:tcW w:w="2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warrant)</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4, 2025</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September 22, 2025</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5, 2025</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377,500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November 6, 2025</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100,500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0.4984</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6, 2025</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100,500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0.75</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12,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14,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15,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15,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19,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21,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18,750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21,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23,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895</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23,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23,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104,000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26,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26,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26,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27,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January 30,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February 2,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243,900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3,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February 4,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9, 2026</w:t>
            </w:r>
          </w:p>
        </w:tc>
        <w:tc>
          <w:tcPr>
            <w:tcW w:w="5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438"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19"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February 9, 2026</w:t>
            </w:r>
          </w:p>
        </w:tc>
        <w:tc>
          <w:tcPr>
            <w:tcW w:w="5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right"/>
              <w:rPr/>
            </w:pPr>
            <w:r>
              <w:rPr/>
              <w:t>138,293</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19"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535"/>
        <w:gridCol w:w="483"/>
        <w:gridCol w:w="144"/>
        <w:gridCol w:w="2493"/>
        <w:gridCol w:w="60"/>
        <w:gridCol w:w="483"/>
        <w:gridCol w:w="447"/>
        <w:gridCol w:w="1046"/>
        <w:gridCol w:w="64"/>
      </w:tblGrid>
      <w:tr>
        <w:trPr/>
        <w:tc>
          <w:tcPr>
            <w:tcW w:w="2535"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483" w:type="dxa"/>
            <w:tcBorders/>
            <w:vAlign w:val="bottom"/>
          </w:tcPr>
          <w:p>
            <w:pPr>
              <w:pStyle w:val="TableContents"/>
              <w:bidi w:val="0"/>
              <w:spacing w:before="0" w:after="283"/>
              <w:jc w:val="left"/>
              <w:rPr/>
            </w:pPr>
            <w:r>
              <w:rPr/>
              <w:t>  </w:t>
            </w:r>
          </w:p>
        </w:tc>
        <w:tc>
          <w:tcPr>
            <w:tcW w:w="2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pPr>
            <w:r>
              <w:rPr>
                <w:b/>
              </w:rPr>
              <w:t>Exercise price</w:t>
            </w:r>
            <w:r>
              <w:rPr/>
              <w:br/>
            </w:r>
            <w:r>
              <w:rPr>
                <w:b/>
              </w:rPr>
              <w:t>(per warrant)</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11,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February 20,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122,927</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23,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14,465</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February 24,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25,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153,659</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2,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170,000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3,500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4,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31,250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4,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5,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458,065</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6,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52,000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6,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9,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223,800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11.20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10,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11,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12,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19,000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16,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18,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48,725</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20,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58,725</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23,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25,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March 27,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6,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241,300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April 9,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13,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2,512,021</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April 14,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50,054</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2.05</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15,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53,900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April 16,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17,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84,400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3.00</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April 20,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17,154</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5, 2026</w:t>
            </w:r>
          </w:p>
        </w:tc>
        <w:tc>
          <w:tcPr>
            <w:tcW w:w="48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493" w:type="dxa"/>
            <w:tcBorders/>
            <w:shd w:fill="CCEEFF" w:val="clear"/>
            <w:vAlign w:val="bottom"/>
          </w:tcPr>
          <w:p>
            <w:pPr>
              <w:pStyle w:val="TableContents"/>
              <w:bidi w:val="0"/>
              <w:spacing w:before="0" w:after="283"/>
              <w:jc w:val="right"/>
              <w:rPr/>
            </w:pPr>
            <w:r>
              <w:rPr/>
              <w:t>287,500</w:t>
            </w:r>
          </w:p>
        </w:tc>
        <w:tc>
          <w:tcPr>
            <w:tcW w:w="6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C$</w:t>
            </w:r>
          </w:p>
        </w:tc>
        <w:tc>
          <w:tcPr>
            <w:tcW w:w="1046" w:type="dxa"/>
            <w:tcBorders/>
            <w:shd w:fill="CCEEFF" w:val="clear"/>
            <w:vAlign w:val="bottom"/>
          </w:tcPr>
          <w:p>
            <w:pPr>
              <w:pStyle w:val="TableContents"/>
              <w:bidi w:val="0"/>
              <w:spacing w:before="0" w:after="283"/>
              <w:jc w:val="right"/>
              <w:rPr/>
            </w:pPr>
            <w:r>
              <w:rPr/>
              <w:t>0.76</w:t>
            </w:r>
          </w:p>
        </w:tc>
        <w:tc>
          <w:tcPr>
            <w:tcW w:w="64"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August 27, 2026</w:t>
            </w:r>
          </w:p>
        </w:tc>
        <w:tc>
          <w:tcPr>
            <w:tcW w:w="48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493"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C$</w:t>
            </w:r>
          </w:p>
        </w:tc>
        <w:tc>
          <w:tcPr>
            <w:tcW w:w="1046" w:type="dxa"/>
            <w:tcBorders/>
            <w:vAlign w:val="bottom"/>
          </w:tcPr>
          <w:p>
            <w:pPr>
              <w:pStyle w:val="TableContents"/>
              <w:bidi w:val="0"/>
              <w:spacing w:before="0" w:after="283"/>
              <w:jc w:val="right"/>
              <w:rPr/>
            </w:pPr>
            <w:r>
              <w:rPr/>
              <w:t>0.4984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issued common shares pursuant to the exercise of restricted stock units under our omnibus plan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94"/>
        <w:gridCol w:w="508"/>
        <w:gridCol w:w="203"/>
        <w:gridCol w:w="2353"/>
        <w:gridCol w:w="60"/>
        <w:gridCol w:w="508"/>
        <w:gridCol w:w="759"/>
        <w:gridCol w:w="1107"/>
        <w:gridCol w:w="63"/>
      </w:tblGrid>
      <w:tr>
        <w:trPr/>
        <w:tc>
          <w:tcPr>
            <w:tcW w:w="219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1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508" w:type="dxa"/>
            <w:tcBorders/>
            <w:vAlign w:val="bottom"/>
          </w:tcPr>
          <w:p>
            <w:pPr>
              <w:pStyle w:val="TableContents"/>
              <w:bidi w:val="0"/>
              <w:spacing w:before="0" w:after="283"/>
              <w:jc w:val="left"/>
              <w:rPr/>
            </w:pPr>
            <w:r>
              <w:rPr/>
              <w:t>  </w:t>
            </w:r>
          </w:p>
        </w:tc>
        <w:tc>
          <w:tcPr>
            <w:tcW w:w="2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866" w:type="dxa"/>
            <w:gridSpan w:val="2"/>
            <w:tcBorders>
              <w:bottom w:val="single" w:sz="8" w:space="0" w:color="000000"/>
            </w:tcBorders>
            <w:tcMar>
              <w:bottom w:w="28" w:type="dxa"/>
            </w:tcMar>
            <w:vAlign w:val="bottom"/>
          </w:tcPr>
          <w:p>
            <w:pPr>
              <w:pStyle w:val="TableContents"/>
              <w:bidi w:val="0"/>
              <w:spacing w:before="0" w:after="283"/>
              <w:jc w:val="center"/>
              <w:rPr/>
            </w:pPr>
            <w:r>
              <w:rPr>
                <w:b/>
              </w:rPr>
              <w:t>Fair market value</w:t>
            </w:r>
            <w:r>
              <w:rPr/>
              <w:br/>
            </w:r>
            <w:r>
              <w:rPr>
                <w:b/>
              </w:rPr>
              <w:t>(per share)</w:t>
            </w:r>
          </w:p>
        </w:tc>
        <w:tc>
          <w:tcPr>
            <w:tcW w:w="63"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8, 2025</w:t>
            </w:r>
          </w:p>
        </w:tc>
        <w:tc>
          <w:tcPr>
            <w:tcW w:w="50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3" w:type="dxa"/>
            <w:tcBorders/>
            <w:shd w:fill="CCEEFF" w:val="clear"/>
            <w:vAlign w:val="bottom"/>
          </w:tcPr>
          <w:p>
            <w:pPr>
              <w:pStyle w:val="TableContents"/>
              <w:bidi w:val="0"/>
              <w:spacing w:before="0" w:after="283"/>
              <w:jc w:val="right"/>
              <w:rPr/>
            </w:pPr>
            <w:r>
              <w:rPr/>
              <w:t>35,000</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C$</w:t>
            </w:r>
          </w:p>
        </w:tc>
        <w:tc>
          <w:tcPr>
            <w:tcW w:w="1107" w:type="dxa"/>
            <w:tcBorders/>
            <w:shd w:fill="CCEEFF" w:val="clear"/>
            <w:vAlign w:val="bottom"/>
          </w:tcPr>
          <w:p>
            <w:pPr>
              <w:pStyle w:val="TableContents"/>
              <w:bidi w:val="0"/>
              <w:spacing w:before="0" w:after="283"/>
              <w:jc w:val="right"/>
              <w:rPr/>
            </w:pPr>
            <w:r>
              <w:rPr/>
              <w:t>8.78</w:t>
            </w:r>
          </w:p>
        </w:tc>
        <w:tc>
          <w:tcPr>
            <w:tcW w:w="63"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December 11, 2025</w:t>
            </w:r>
          </w:p>
        </w:tc>
        <w:tc>
          <w:tcPr>
            <w:tcW w:w="50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3"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C$</w:t>
            </w:r>
          </w:p>
        </w:tc>
        <w:tc>
          <w:tcPr>
            <w:tcW w:w="1107" w:type="dxa"/>
            <w:tcBorders/>
            <w:vAlign w:val="bottom"/>
          </w:tcPr>
          <w:p>
            <w:pPr>
              <w:pStyle w:val="TableContents"/>
              <w:bidi w:val="0"/>
              <w:spacing w:before="0" w:after="283"/>
              <w:jc w:val="right"/>
              <w:rPr/>
            </w:pPr>
            <w:r>
              <w:rPr/>
              <w:t>8.78</w:t>
            </w:r>
          </w:p>
        </w:tc>
        <w:tc>
          <w:tcPr>
            <w:tcW w:w="63"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30, 2026</w:t>
            </w:r>
          </w:p>
        </w:tc>
        <w:tc>
          <w:tcPr>
            <w:tcW w:w="50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3"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C$</w:t>
            </w:r>
          </w:p>
        </w:tc>
        <w:tc>
          <w:tcPr>
            <w:tcW w:w="1107" w:type="dxa"/>
            <w:tcBorders/>
            <w:shd w:fill="CCEEFF" w:val="clear"/>
            <w:vAlign w:val="bottom"/>
          </w:tcPr>
          <w:p>
            <w:pPr>
              <w:pStyle w:val="TableContents"/>
              <w:bidi w:val="0"/>
              <w:spacing w:before="0" w:after="283"/>
              <w:jc w:val="right"/>
              <w:rPr/>
            </w:pPr>
            <w:r>
              <w:rPr/>
              <w:t>8.63</w:t>
            </w:r>
          </w:p>
        </w:tc>
        <w:tc>
          <w:tcPr>
            <w:tcW w:w="63"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May 11, 2026</w:t>
            </w:r>
          </w:p>
        </w:tc>
        <w:tc>
          <w:tcPr>
            <w:tcW w:w="50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3"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C$</w:t>
            </w:r>
          </w:p>
        </w:tc>
        <w:tc>
          <w:tcPr>
            <w:tcW w:w="1107" w:type="dxa"/>
            <w:tcBorders/>
            <w:vAlign w:val="bottom"/>
          </w:tcPr>
          <w:p>
            <w:pPr>
              <w:pStyle w:val="TableContents"/>
              <w:bidi w:val="0"/>
              <w:spacing w:before="0" w:after="283"/>
              <w:jc w:val="right"/>
              <w:rPr/>
            </w:pPr>
            <w:r>
              <w:rPr/>
              <w:t>8.63</w:t>
            </w:r>
          </w:p>
        </w:tc>
        <w:tc>
          <w:tcPr>
            <w:tcW w:w="63" w:type="dxa"/>
            <w:tcBorders/>
            <w:vAlign w:val="bottom"/>
          </w:tcPr>
          <w:p>
            <w:pPr>
              <w:pStyle w:val="TableContents"/>
              <w:bidi w:val="0"/>
              <w:spacing w:before="0" w:after="283"/>
              <w:jc w:val="left"/>
              <w:rPr/>
            </w:pPr>
            <w:r>
              <w:rPr/>
              <w:t> </w:t>
            </w:r>
          </w:p>
        </w:tc>
      </w:tr>
      <w:tr>
        <w:trPr/>
        <w:tc>
          <w:tcPr>
            <w:tcW w:w="2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13, 2026</w:t>
            </w:r>
          </w:p>
        </w:tc>
        <w:tc>
          <w:tcPr>
            <w:tcW w:w="50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3"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left"/>
              <w:rPr/>
            </w:pPr>
            <w:r>
              <w:rPr/>
              <w:t>C$</w:t>
            </w:r>
          </w:p>
        </w:tc>
        <w:tc>
          <w:tcPr>
            <w:tcW w:w="1107" w:type="dxa"/>
            <w:tcBorders/>
            <w:shd w:fill="CCEEFF" w:val="clear"/>
            <w:vAlign w:val="bottom"/>
          </w:tcPr>
          <w:p>
            <w:pPr>
              <w:pStyle w:val="TableContents"/>
              <w:bidi w:val="0"/>
              <w:spacing w:before="0" w:after="283"/>
              <w:jc w:val="right"/>
              <w:rPr/>
            </w:pPr>
            <w:r>
              <w:rPr/>
              <w:t>8.63</w:t>
            </w:r>
          </w:p>
        </w:tc>
        <w:tc>
          <w:tcPr>
            <w:tcW w:w="63" w:type="dxa"/>
            <w:tcBorders/>
            <w:shd w:fill="CCEEFF" w:val="clear"/>
            <w:vAlign w:val="bottom"/>
          </w:tcPr>
          <w:p>
            <w:pPr>
              <w:pStyle w:val="TableContents"/>
              <w:bidi w:val="0"/>
              <w:spacing w:before="0" w:after="283"/>
              <w:jc w:val="left"/>
              <w:rPr/>
            </w:pPr>
            <w:r>
              <w:rPr/>
              <w:t> </w:t>
            </w:r>
          </w:p>
        </w:tc>
      </w:tr>
      <w:tr>
        <w:trPr/>
        <w:tc>
          <w:tcPr>
            <w:tcW w:w="2194" w:type="dxa"/>
            <w:tcBorders/>
          </w:tcPr>
          <w:p>
            <w:pPr>
              <w:pStyle w:val="TableContents"/>
              <w:bidi w:val="0"/>
              <w:spacing w:before="0" w:after="0"/>
              <w:jc w:val="left"/>
              <w:rPr>
                <w:rFonts w:ascii="Times New Roman" w:hAnsi="Times New Roman"/>
                <w:sz w:val="20"/>
              </w:rPr>
            </w:pPr>
            <w:r>
              <w:rPr>
                <w:rFonts w:ascii="Times New Roman" w:hAnsi="Times New Roman"/>
                <w:sz w:val="20"/>
              </w:rPr>
              <w:t>May 26, 2026</w:t>
            </w:r>
          </w:p>
        </w:tc>
        <w:tc>
          <w:tcPr>
            <w:tcW w:w="50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3" w:type="dxa"/>
            <w:tcBorders/>
            <w:vAlign w:val="bottom"/>
          </w:tcPr>
          <w:p>
            <w:pPr>
              <w:pStyle w:val="TableContents"/>
              <w:bidi w:val="0"/>
              <w:spacing w:before="0" w:after="283"/>
              <w:jc w:val="right"/>
              <w:rPr/>
            </w:pPr>
            <w:r>
              <w:rPr/>
              <w:t>213</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C$</w:t>
            </w:r>
          </w:p>
        </w:tc>
        <w:tc>
          <w:tcPr>
            <w:tcW w:w="1107" w:type="dxa"/>
            <w:tcBorders/>
            <w:vAlign w:val="bottom"/>
          </w:tcPr>
          <w:p>
            <w:pPr>
              <w:pStyle w:val="TableContents"/>
              <w:bidi w:val="0"/>
              <w:spacing w:before="0" w:after="283"/>
              <w:jc w:val="right"/>
              <w:rPr/>
            </w:pPr>
            <w:r>
              <w:rPr/>
              <w:t>8.63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issued common shares pursuant to the conversion of preferred shares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83"/>
        <w:gridCol w:w="865"/>
        <w:gridCol w:w="175"/>
        <w:gridCol w:w="2354"/>
        <w:gridCol w:w="62"/>
      </w:tblGrid>
      <w:tr>
        <w:trPr/>
        <w:tc>
          <w:tcPr>
            <w:tcW w:w="3483" w:type="dxa"/>
            <w:tcBorders/>
            <w:vAlign w:val="center"/>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4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exercise</w:t>
            </w:r>
          </w:p>
        </w:tc>
        <w:tc>
          <w:tcPr>
            <w:tcW w:w="865" w:type="dxa"/>
            <w:tcBorders/>
            <w:vAlign w:val="bottom"/>
          </w:tcPr>
          <w:p>
            <w:pPr>
              <w:pStyle w:val="TableContents"/>
              <w:bidi w:val="0"/>
              <w:spacing w:before="0" w:after="283"/>
              <w:jc w:val="left"/>
              <w:rPr/>
            </w:pPr>
            <w:r>
              <w:rPr/>
              <w:t>  </w:t>
            </w:r>
          </w:p>
        </w:tc>
        <w:tc>
          <w:tcPr>
            <w:tcW w:w="2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issued</w:t>
            </w:r>
          </w:p>
        </w:tc>
        <w:tc>
          <w:tcPr>
            <w:tcW w:w="62" w:type="dxa"/>
            <w:tcBorders/>
            <w:vAlign w:val="bottom"/>
          </w:tcPr>
          <w:p>
            <w:pPr>
              <w:pStyle w:val="TableContents"/>
              <w:bidi w:val="0"/>
              <w:spacing w:before="0" w:after="283"/>
              <w:jc w:val="left"/>
              <w:rPr/>
            </w:pPr>
            <w:r>
              <w:rPr/>
              <w:t> </w:t>
            </w:r>
          </w:p>
        </w:tc>
      </w:tr>
      <w:tr>
        <w:trPr/>
        <w:tc>
          <w:tcPr>
            <w:tcW w:w="3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2025</w:t>
            </w:r>
          </w:p>
        </w:tc>
        <w:tc>
          <w:tcPr>
            <w:tcW w:w="8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54"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3483" w:type="dxa"/>
            <w:tcBorders/>
          </w:tcPr>
          <w:p>
            <w:pPr>
              <w:pStyle w:val="TableContents"/>
              <w:bidi w:val="0"/>
              <w:spacing w:before="0" w:after="0"/>
              <w:jc w:val="left"/>
              <w:rPr>
                <w:rFonts w:ascii="Times New Roman" w:hAnsi="Times New Roman"/>
                <w:sz w:val="20"/>
              </w:rPr>
            </w:pPr>
            <w:r>
              <w:rPr>
                <w:rFonts w:ascii="Times New Roman" w:hAnsi="Times New Roman"/>
                <w:sz w:val="20"/>
              </w:rPr>
              <w:t>December 8, 2025</w:t>
            </w:r>
          </w:p>
        </w:tc>
        <w:tc>
          <w:tcPr>
            <w:tcW w:w="86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54" w:type="dxa"/>
            <w:tcBorders/>
            <w:vAlign w:val="bottom"/>
          </w:tcPr>
          <w:p>
            <w:pPr>
              <w:pStyle w:val="TableContents"/>
              <w:bidi w:val="0"/>
              <w:spacing w:before="0" w:after="283"/>
              <w:jc w:val="right"/>
              <w:rPr/>
            </w:pPr>
            <w:r>
              <w:rPr/>
              <w:t>500,000</w:t>
            </w:r>
          </w:p>
        </w:tc>
        <w:tc>
          <w:tcPr>
            <w:tcW w:w="62" w:type="dxa"/>
            <w:tcBorders/>
            <w:vAlign w:val="bottom"/>
          </w:tcPr>
          <w:p>
            <w:pPr>
              <w:pStyle w:val="TableContents"/>
              <w:bidi w:val="0"/>
              <w:spacing w:before="0" w:after="283"/>
              <w:jc w:val="left"/>
              <w:rPr/>
            </w:pPr>
            <w:r>
              <w:rPr/>
              <w:t> </w:t>
            </w:r>
          </w:p>
        </w:tc>
      </w:tr>
      <w:tr>
        <w:trPr/>
        <w:tc>
          <w:tcPr>
            <w:tcW w:w="3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27, 2026</w:t>
            </w:r>
          </w:p>
        </w:tc>
        <w:tc>
          <w:tcPr>
            <w:tcW w:w="86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2354" w:type="dxa"/>
            <w:tcBorders/>
            <w:shd w:fill="CCEEFF" w:val="clear"/>
            <w:vAlign w:val="bottom"/>
          </w:tcPr>
          <w:p>
            <w:pPr>
              <w:pStyle w:val="TableContents"/>
              <w:bidi w:val="0"/>
              <w:spacing w:before="0" w:after="283"/>
              <w:jc w:val="right"/>
              <w:rPr/>
            </w:pPr>
            <w:r>
              <w:rPr/>
              <w:t>60,000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343554_12"/>
      <w:bookmarkEnd w:id="14"/>
      <w:r>
        <w:rPr>
          <w:rFonts w:ascii="Times New Roman" w:hAnsi="Times New Roman"/>
          <w:b/>
          <w:sz w:val="20"/>
        </w:rPr>
        <w:t xml:space="preserve">TRADING PRICE AND VOLUME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listed and posted for trading on the TSX and Nasdaq under the symbol “EPRX”.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the high and low prices (in Canadian dollars) and the aggregate volume of trading of our common shares on the TSX, as applicable, for the periods indicated during the 12-month period before the date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35"/>
        <w:gridCol w:w="367"/>
        <w:gridCol w:w="60"/>
        <w:gridCol w:w="890"/>
        <w:gridCol w:w="60"/>
        <w:gridCol w:w="367"/>
        <w:gridCol w:w="60"/>
        <w:gridCol w:w="890"/>
        <w:gridCol w:w="60"/>
        <w:gridCol w:w="367"/>
        <w:gridCol w:w="89"/>
        <w:gridCol w:w="1462"/>
        <w:gridCol w:w="65"/>
      </w:tblGrid>
      <w:tr>
        <w:trPr/>
        <w:tc>
          <w:tcPr>
            <w:tcW w:w="3835"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3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High</w:t>
            </w:r>
            <w:r>
              <w:rPr/>
              <w:br/>
            </w:r>
            <w:r>
              <w:rPr>
                <w:b/>
              </w:rPr>
              <w:t>(C$) Actual</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Low</w:t>
            </w:r>
            <w:r>
              <w:rPr/>
              <w:br/>
            </w:r>
            <w:r>
              <w:rPr>
                <w:b/>
              </w:rPr>
              <w:t>(C$) Actual</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Volume Actual</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2025</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August</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7.6000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6.9400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515,543</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9.7500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7.1500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1,189,555</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October</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8.7600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7.4500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979,191</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9.8800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7.3500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1,561,299</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December</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10.7500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8.0600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1,727,078</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2026</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January</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12.8600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9.9900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1,832,000</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12.4100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10.0900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1,744,872</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March</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11.7000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9.1600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1,916,556</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10.7000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9.1100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1,141,131</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May</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11.0400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8.6000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960,235</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9.9200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7.8500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1,830,970</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Times New Roman" w:hAnsi="Times New Roman"/>
                <w:sz w:val="20"/>
              </w:rPr>
            </w:pPr>
            <w:r>
              <w:rPr>
                <w:rFonts w:ascii="Times New Roman" w:hAnsi="Times New Roman"/>
                <w:sz w:val="20"/>
              </w:rPr>
              <w:t>July</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10.0500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8.1000</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1,367,287</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10.3600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8.7800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1,162,100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Source: Bloomberg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the high and low prices (in US dollars) and the aggregate volume of trading of our common shares on Nasdaq, as applicable, for the periods indicated during the 12-month period before the date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8"/>
        <w:gridCol w:w="467"/>
        <w:gridCol w:w="67"/>
        <w:gridCol w:w="865"/>
        <w:gridCol w:w="60"/>
        <w:gridCol w:w="467"/>
        <w:gridCol w:w="67"/>
        <w:gridCol w:w="865"/>
        <w:gridCol w:w="60"/>
        <w:gridCol w:w="466"/>
        <w:gridCol w:w="89"/>
        <w:gridCol w:w="1466"/>
        <w:gridCol w:w="65"/>
      </w:tblGrid>
      <w:tr>
        <w:trPr/>
        <w:tc>
          <w:tcPr>
            <w:tcW w:w="3568"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pPr>
            <w:r>
              <w:rPr>
                <w:b/>
              </w:rPr>
              <w:t>High</w:t>
            </w:r>
            <w:r>
              <w:rPr/>
              <w:br/>
            </w:r>
            <w:r>
              <w:rPr>
                <w:b/>
              </w:rPr>
              <w:t>(US$) Actual</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pPr>
            <w:r>
              <w:rPr>
                <w:b/>
              </w:rPr>
              <w:t>Low</w:t>
            </w:r>
            <w:r>
              <w:rPr/>
              <w:br/>
            </w:r>
            <w:r>
              <w:rPr>
                <w:b/>
              </w:rPr>
              <w:t>(US$) Actual</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Volume Actual</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2025</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August</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5.6500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5.0400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56,249</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7.1100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5.2200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675,244</w:t>
            </w:r>
          </w:p>
        </w:tc>
        <w:tc>
          <w:tcPr>
            <w:tcW w:w="65"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October</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6.2700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5.3450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358,239</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7.0000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5.2900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1,073,355</w:t>
            </w:r>
          </w:p>
        </w:tc>
        <w:tc>
          <w:tcPr>
            <w:tcW w:w="65"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December</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7.8300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5.7200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673,448</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2026</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January</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9.3100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7.2100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839,387</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9.1100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7.3000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1,569,763</w:t>
            </w:r>
          </w:p>
        </w:tc>
        <w:tc>
          <w:tcPr>
            <w:tcW w:w="65"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March</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8.5100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6.5700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1,131,456</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7.8800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6.5400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716,725</w:t>
            </w:r>
          </w:p>
        </w:tc>
        <w:tc>
          <w:tcPr>
            <w:tcW w:w="65"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May</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8.0900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6.2800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1,034,029</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7.0750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5.6400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2,287,387</w:t>
            </w:r>
          </w:p>
        </w:tc>
        <w:tc>
          <w:tcPr>
            <w:tcW w:w="65"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July</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7.1000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5.7500</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3,190,915</w:t>
            </w:r>
          </w:p>
        </w:tc>
        <w:tc>
          <w:tcPr>
            <w:tcW w:w="65"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7.5200</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6.3400</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2,168,183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Source: Bloomberg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oc343554_13"/>
      <w:bookmarkEnd w:id="1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the Shares in the resale offering. The Selling Shareholders will receive all the proceeds from the sale of the Shares. The Selling Shareholders will pay any underwriting discounts and commissions and expenses incurred by them for brokerage, accounting, tax or legal services or any other expenses incurred by the Selling Shareholders in disposing of the Shares. We will bear all other costs, fees and expenses incurred in effecting the registration of the Shares covered by this prospectus supplement, including all registration and filing fees, and fees and expenses for our counsel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343554_14"/>
      <w:bookmarkEnd w:id="16"/>
      <w:r>
        <w:rPr>
          <w:rFonts w:ascii="Times New Roman" w:hAnsi="Times New Roman"/>
          <w:b/>
          <w:sz w:val="20"/>
        </w:rPr>
        <w:t xml:space="preserve">DESCRIPTION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share capital consists of an unlimited number of common shares. As of August 31, 2026, the last trading date before the date of this prospectus supplement, we had an aggregate of 66,318,340 fully paid common shares issued and outstanding.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Description of the Share Capital</w:t>
      </w:r>
      <w:r>
        <w:rPr>
          <w:rFonts w:ascii="Times New Roman" w:hAnsi="Times New Roman"/>
          <w:sz w:val="20"/>
        </w:rPr>
        <w:t xml:space="preserve">” in the shelf prospectus for a detailed description of the attributes of the Company’s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shares are currently listed on TSX and Nasdaq under the symbol “EPRX”.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oc343554_15"/>
      <w:bookmarkEnd w:id="1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resale by the Selling Shareholders from time to time in the United States of up to 2,926,000 Shares. The Selling Shareholders may from time to time offer and sell any or all of the Shares set forth below pursuant to this prospectus supplement. As used in this prospectus supplement, the term “Selling Shareholder” includes the persons listed in the table below, together with any additional Selling Shareholders listed in a subsequent amendment to this prospectus supplement, and their pledgees, donees, transferees, assignees, successors, designees and others who later come to hold any of the Selling Shareholders’ interests in the Shares, other than through a public sale.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footnotes below, the following table sets forth, based on written representations from the Selling Shareholders, certain information regarding the beneficial ownership of our common shares by the Selling Shareholders and the Shares being offered by the Selling Shareholders. The applicable percentage ownership of common shares is based on approximately 66,318,340 common shares outstanding as of August 31, 2026. Information with respect to common shares owned beneficially after the resale offering assumes the sale of all of the Shares registered hereby. The Selling Shareholders may offer and sell some, all or none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have acquired the Shares to be resold hereunder in the ordinary course of business and, at the time of acquisition, the Selling Shareholders were not, nor were expected to be, a party to any agreement or understanding, directly or indirectly, with any person to distribute the Shares to be resold by such Selling Shareholder under the U.S.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Since the Selling Shareholders may sell some or none of the Shares that they hold that are covered by this prospectus supplement, and because the resale offering contemplated by this prospectus supplement is not underwritten, no estimate can be given as to the number of our common shares that will be held by the Selling Shareholders upon the termination of the resale offering. The information set forth in the following table regarding the beneficial ownership after the resale of Shares is based upon the assumption that the Selling Shareholders will sell all of the Shares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To the best of our knowledge, each Selling Shareholder beneficially owns the number of shares set forth opposite their name in the table below. Except as indicated by the footnotes below, we believe, based on the information furnished to us, that the Selling Shareholders have sole voting and investment power with respect to all common shares that they beneficially own, subject to applicable community property laws. Except as otherwise described below, based on the information provided to us by the Selling Shareholders, the Selling Shareholders are not broker-dealers or affiliates of broker-dealers.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rPr>
        <w:t>Plan of Distribution</w:t>
      </w:r>
      <w:r>
        <w:rPr>
          <w:rFonts w:ascii="Times New Roman" w:hAnsi="Times New Roman"/>
          <w:sz w:val="20"/>
        </w:rPr>
        <w:t xml:space="preserve">” in this prospectus supplement for further information regarding the Selling Shareholders’ method of distributing these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5"/>
        <w:gridCol w:w="227"/>
        <w:gridCol w:w="71"/>
        <w:gridCol w:w="1189"/>
        <w:gridCol w:w="60"/>
        <w:gridCol w:w="227"/>
        <w:gridCol w:w="148"/>
        <w:gridCol w:w="1096"/>
        <w:gridCol w:w="275"/>
        <w:gridCol w:w="169"/>
        <w:gridCol w:w="63"/>
        <w:gridCol w:w="1048"/>
        <w:gridCol w:w="60"/>
        <w:gridCol w:w="227"/>
        <w:gridCol w:w="640"/>
        <w:gridCol w:w="1504"/>
        <w:gridCol w:w="60"/>
        <w:gridCol w:w="227"/>
        <w:gridCol w:w="133"/>
        <w:gridCol w:w="848"/>
        <w:gridCol w:w="68"/>
      </w:tblGrid>
      <w:tr>
        <w:trPr/>
        <w:tc>
          <w:tcPr>
            <w:tcW w:w="186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80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Common Shares</w:t>
            </w:r>
          </w:p>
        </w:tc>
        <w:tc>
          <w:tcPr>
            <w:tcW w:w="68"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Beneficially</w:t>
              <w:br/>
              <w:t>Owned</w:t>
            </w:r>
            <w:r>
              <w:rPr/>
              <w:br/>
            </w:r>
            <w:r>
              <w:rPr>
                <w:b/>
              </w:rPr>
              <w:t>Prior to this</w:t>
              <w:br/>
              <w:t>Resale</w:t>
              <w:br/>
              <w:t>Offering (1)</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Prior to this</w:t>
              <w:br/>
              <w:t>Resale</w:t>
              <w:br/>
              <w:t>Offering (2)</w:t>
            </w:r>
          </w:p>
        </w:tc>
        <w:tc>
          <w:tcPr>
            <w:tcW w:w="2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Beneficially</w:t>
              <w:br/>
              <w:t>Owned After this</w:t>
              <w:br/>
              <w:t>Resale Offering</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 this</w:t>
              <w:br/>
              <w:t>Resale</w:t>
              <w:br/>
              <w:t>Offering</w:t>
            </w:r>
          </w:p>
        </w:tc>
        <w:tc>
          <w:tcPr>
            <w:tcW w:w="68" w:type="dxa"/>
            <w:tcBorders/>
            <w:vAlign w:val="bottom"/>
          </w:tcPr>
          <w:p>
            <w:pPr>
              <w:pStyle w:val="TableContents"/>
              <w:bidi w:val="0"/>
              <w:spacing w:before="0" w:after="283"/>
              <w:jc w:val="left"/>
              <w:rPr/>
            </w:pPr>
            <w:r>
              <w:rPr/>
              <w:t> </w:t>
            </w:r>
          </w:p>
        </w:tc>
      </w:tr>
      <w:tr>
        <w:trPr/>
        <w:tc>
          <w:tcPr>
            <w:tcW w:w="1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 of Selling Shareholder</w:t>
            </w:r>
          </w:p>
        </w:tc>
        <w:tc>
          <w:tcPr>
            <w:tcW w:w="2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15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65" w:type="dxa"/>
            <w:tcBorders/>
          </w:tcPr>
          <w:p>
            <w:pPr>
              <w:pStyle w:val="TableContents"/>
              <w:bidi w:val="0"/>
              <w:spacing w:before="0" w:after="0"/>
              <w:jc w:val="left"/>
              <w:rPr>
                <w:rFonts w:ascii="Times New Roman" w:hAnsi="Times New Roman"/>
                <w:sz w:val="20"/>
              </w:rPr>
            </w:pPr>
            <w:r>
              <w:rPr>
                <w:rFonts w:ascii="Times New Roman" w:hAnsi="Times New Roman"/>
                <w:sz w:val="20"/>
              </w:rPr>
              <w:t>Morgan Christopher Frank</w:t>
            </w:r>
          </w:p>
        </w:tc>
        <w:tc>
          <w:tcPr>
            <w:tcW w:w="2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153,659</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153,659</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E. Besser</w:t>
            </w:r>
          </w:p>
        </w:tc>
        <w:tc>
          <w:tcPr>
            <w:tcW w:w="2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138,293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138,293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1865" w:type="dxa"/>
            <w:tcBorders/>
          </w:tcPr>
          <w:p>
            <w:pPr>
              <w:pStyle w:val="TableContents"/>
              <w:bidi w:val="0"/>
              <w:spacing w:before="0" w:after="0"/>
              <w:jc w:val="left"/>
              <w:rPr>
                <w:rFonts w:ascii="Times New Roman" w:hAnsi="Times New Roman"/>
                <w:sz w:val="20"/>
              </w:rPr>
            </w:pPr>
            <w:r>
              <w:rPr>
                <w:rFonts w:ascii="Times New Roman" w:hAnsi="Times New Roman"/>
                <w:sz w:val="20"/>
              </w:rPr>
              <w:t>Jeb Partners, L.P.(3)</w:t>
            </w:r>
          </w:p>
        </w:tc>
        <w:tc>
          <w:tcPr>
            <w:tcW w:w="2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122,927</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122,927</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Manchester Explorer, L.P.(3)</w:t>
            </w:r>
          </w:p>
        </w:tc>
        <w:tc>
          <w:tcPr>
            <w:tcW w:w="2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2,511,121</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3.79</w:t>
            </w:r>
          </w:p>
        </w:tc>
        <w:tc>
          <w:tcPr>
            <w:tcW w:w="2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2,511,121</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on a fully-diluted basis. Beneficial ownership includes common shares as to which a person or group has sole or shared voting power or dispositive power. Shares registered hereunder, as well as common shares subject to options, warrants or other convertible securities that are exercisable or convertible currently or within 60 days of August 31, 2026, are deemed outstanding for purposes of computing the number of shares beneficially owned and percentage ownership of the person or group holding such common shares, options, warrants or convertible securities, but are not deemed outstanding for computing the percentage of any other person.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represents less than 1% of the Company’s total outstanding common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E. Besser, the Managing Member of Manchester Management Company, LLC, has voting and investment control over securities beneficially owned directly or indirectly by the Selling Shareholder.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oc343554_16"/>
      <w:bookmarkEnd w:id="1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2,926,000 Shares issued upon exercise of 2,926,000 Warrants, issued to the Selling Shareholders in connection with the Private Placement, to permit the resale of these Shares in the United States by the holders of such Shares from time to time after the date of this prospectus supplement. We will not receive any of the proceeds from the sale by the Selling Shareholders of the Shares. We will bear all fees and expenses incident to our registration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sell all or a portion of the Shares owned by them from time to time directly or through one or more underwriters, broker-dealers or agents. If the Shares are sold through underwriters or broker-dealers, the Selling Shareholders will be responsible for underwriting discounts or commissions or agent’s commissions. The Shares may be sold in one or more transactions at fixed prices, at prevailing market prices at the time of the sale, at varying prices determined at the time of sale, or at negotiated prices. The Selling Shareholders will act independently of us in making decisions with respect to the timing, manner and size of each sale. These sales may be effected in transactions, which may involve crosses or block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Shares by the Selling Shareholders to their partners, members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pursuant to Rule 144;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Shareholders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Selling Shareholders effect such transactions by selling Shares to or through underwriters, broker-dealers or agents, such underwriters, broker-dealers or agents may receive commissions in the form of discounts, concessions or commissions from the Selling Shareholders or commissions from purchasers of the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or otherwise, the Selling Shareholders may enter into hedging transactions with broker-dealers, which may in turn engage in short sales of the common shares in the course of hedging in positions they assume. The Selling Shareholders may also sell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 and deliver Shares covered by this prospectus supplement to close out short positions and to return borrowed shares in connection with such short sales. The Selling Shareholders may also loan or pledge Shares to broker-dealers that in turn may sell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pledge or grant a security interest in some or all of the Shares owned by them and, if they default in the performance of their secured obligations, the pledgees or secured parties may offer and sell the Shares from time to time pursuant to this prospectus supplement or any amendment to this prospectus supplement amending, if necessary, the list of Selling Shareholders to include the pledgee, transferee or other successors in interest as Selling Shareholders under this prospectus. The Selling Shareholders also may transfer and donate the Shares in other circumstances in which case the transferees, donees, pledgees or other successors in interest will be the selling beneficial owners for purposes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broker-dealer participating in the distribution of the Shares may be deemed to be “underwriters” within the meaning of the U.S. Securities Act, and any commission paid, or any discounts or concessions allowed to, any such broker-dealer may be deemed to be underwriting commissions or discounts under the U.S. Securities Act. At the time a particular offering of the Shares is made, an amendment to this prospectus supplement, if required, will be distributed which will set forth the aggregate amount of Shares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 The Selling Shareholders may indemnify any broker-dealer that participates in transactions involving the sale of the Shares against certain liabilities, including liabilities arising under the U.S.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Shares may be sold in such states only through registered or licensed brokers or dealers. In addition, in some states the Shares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Shareholders will sell any or all of the Shares registered pursuant to the U.S.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other person participating in such distribution will be subject to applicable provisions of the U.S. Exchange Act and the rules and regulations thereunder, including, without limitation, Regulation M of the U.S. Exchange Act, which may limit the timing of purchases and sales of any of the Shares by the Selling Shareholders and any other participating person.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 </w:t>
      </w:r>
    </w:p>
    <w:p>
      <w:pPr>
        <w:pStyle w:val="TextBody"/>
        <w:bidi w:val="0"/>
        <w:spacing w:before="240" w:after="0"/>
        <w:jc w:val="left"/>
        <w:rPr>
          <w:rFonts w:ascii="Times New Roman" w:hAnsi="Times New Roman"/>
          <w:sz w:val="20"/>
        </w:rPr>
      </w:pPr>
      <w:r>
        <w:rPr>
          <w:rFonts w:ascii="Times New Roman" w:hAnsi="Times New Roman"/>
          <w:sz w:val="20"/>
        </w:rPr>
        <w:t>We will pay all expenses of the registration of the Shares pursuant to the U.S. Registration Statement to which this prospectus supplement forms a part;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the Selling Shareholders will pay all underwriting discounts and selling commissions, if any. </w:t>
      </w:r>
    </w:p>
    <w:p>
      <w:pPr>
        <w:pStyle w:val="TextBody"/>
        <w:bidi w:val="0"/>
        <w:spacing w:before="240" w:after="0"/>
        <w:jc w:val="left"/>
        <w:rPr>
          <w:rFonts w:ascii="Times New Roman" w:hAnsi="Times New Roman"/>
          <w:sz w:val="20"/>
        </w:rPr>
      </w:pPr>
      <w:r>
        <w:rPr>
          <w:rFonts w:ascii="Times New Roman" w:hAnsi="Times New Roman"/>
          <w:sz w:val="20"/>
        </w:rPr>
        <w:t xml:space="preserve">Once sold under the U.S. Registration Statement of which this prospectus supplement forms a part, the Shares will be freely tradable.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upptoc343554_17"/>
      <w:bookmarkEnd w:id="19"/>
      <w:r>
        <w:rPr>
          <w:rFonts w:ascii="Times New Roman" w:hAnsi="Times New Roman"/>
          <w:b/>
          <w:sz w:val="20"/>
        </w:rPr>
        <w:t xml:space="preserve">CERTAIN CANADIAN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as of the date prior to the date of this prospectus supplement, a general summary of the principal Canadian federal income tax considerations under the </w:t>
      </w:r>
      <w:r>
        <w:rPr>
          <w:rFonts w:ascii="Times New Roman" w:hAnsi="Times New Roman"/>
          <w:i/>
          <w:sz w:val="20"/>
        </w:rPr>
        <w:t>Income Tax Act</w:t>
      </w:r>
      <w:r>
        <w:rPr>
          <w:rFonts w:ascii="Times New Roman" w:hAnsi="Times New Roman"/>
          <w:sz w:val="20"/>
        </w:rPr>
        <w:t> (Canada) and the regulations promulgated thereunder (collectively, the “</w:t>
      </w:r>
      <w:r>
        <w:rPr>
          <w:rFonts w:ascii="Times New Roman" w:hAnsi="Times New Roman"/>
          <w:b/>
          <w:sz w:val="20"/>
        </w:rPr>
        <w:t>Tax Act</w:t>
      </w:r>
      <w:r>
        <w:rPr>
          <w:rFonts w:ascii="Times New Roman" w:hAnsi="Times New Roman"/>
          <w:sz w:val="20"/>
        </w:rPr>
        <w:t>”), generally applicable to an investor who acquires the Shares as beneficial owner pursuant to the resale offering and who, for the purposes of the Tax Act and at all relevant times, deals at arm’s length with the Company and each Selling Shareholder, is not affiliated with the Company or any of the Selling Shareholders and who acquires and holds the Shares as capital property, (a “</w:t>
      </w:r>
      <w:r>
        <w:rPr>
          <w:rFonts w:ascii="Times New Roman" w:hAnsi="Times New Roman"/>
          <w:b/>
          <w:sz w:val="20"/>
        </w:rPr>
        <w:t>Holder</w:t>
      </w:r>
      <w:r>
        <w:rPr>
          <w:rFonts w:ascii="Times New Roman" w:hAnsi="Times New Roman"/>
          <w:sz w:val="20"/>
        </w:rPr>
        <w:t xml:space="preserve">”). The Shares will generally be considered to be capital property of a Holder unless the Holder acquires, holds or uses such Shares or is deemed to acquire, hold or use such Shares in the course of carrying on a business of trading or dealing in securities or has acquired them or is deemed to have acquired them in one or more transactions considered to be an adventure or concern in the nature of trade.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not applicable to a Holder: (i) that is a “financial institution” (as defined in the Tax Act) for purposes of the “mark-to-market property” rules contained in the Tax Act; (ii) that is a “specified financial institution” (as defined in the Tax Act); (iii) an interest in which is or would be a “tax shelter investment” (as defined in the Tax Act); (iv) that has elected to report its “Canadian tax results” for purposes of the Tax Act in a currency other than Canadian currency; (v) that has entered into, or will enter into, with respect to the Shares, a “derivative forward agreement”, a “synthetic equity arrangement” or a “synthetic disposition arrangement” (as those terms are defined in the Tax Act); (vi) that receives dividends on the Shares under or as part of a “dividend rental arrangement” (as defined in the Tax Act); or (vii) that is exempt from tax under the Tax Act. Any such Holder to which this summary does not apply should consult their own tax advisor with respect to an investment in the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considerations, not discussed herein, may be applicable to a Holder that is a corporation resident in Canada (for purposes of the Tax Act) (or does not deal at arm’s length for purposes of the Tax Act with a corporation resident in Canada) that is or becomes, as part of a transaction or series of transactions or events that includes the acquisition of Shares, controlled by a non-resident person, or a group of non-resident persons that do not deal with each other at arm’s length, for the purposes of the “foreign affiliate dumping” rules in section 212.3 of the Tax Act. Such Holders should consult their own tax advisors with respect to an investment in the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does not address the deductibility of interest by a Holder that has borrowed money or otherwise incurred debt in connection with the acquisition of the Shares. </w:t>
      </w:r>
    </w:p>
    <w:p>
      <w:pPr>
        <w:pStyle w:val="TextBody"/>
        <w:bidi w:val="0"/>
        <w:spacing w:before="240" w:after="0"/>
        <w:jc w:val="left"/>
        <w:rPr>
          <w:rFonts w:ascii="Times New Roman" w:hAnsi="Times New Roman"/>
          <w:sz w:val="20"/>
        </w:rPr>
      </w:pPr>
      <w:r>
        <w:rPr>
          <w:rFonts w:ascii="Times New Roman" w:hAnsi="Times New Roman"/>
          <w:sz w:val="20"/>
        </w:rPr>
        <w:t>This summary is based upon the facts set out in this prospectus supplement, the provisions of the Tax Act in force as of the date prior to the date hereof, any specific proposals to amend the Tax Act which have been publicly and officially announced by or on behalf of the Minister of Finance (Canada) prior to the date hereof (the “</w:t>
      </w:r>
      <w:r>
        <w:rPr>
          <w:rFonts w:ascii="Times New Roman" w:hAnsi="Times New Roman"/>
          <w:b/>
          <w:sz w:val="20"/>
        </w:rPr>
        <w:t>Tax Proposals</w:t>
      </w:r>
      <w:r>
        <w:rPr>
          <w:rFonts w:ascii="Times New Roman" w:hAnsi="Times New Roman"/>
          <w:sz w:val="20"/>
        </w:rPr>
        <w:t xml:space="preserve">”), the current provisions of the </w:t>
      </w:r>
      <w:r>
        <w:rPr>
          <w:rFonts w:ascii="Times New Roman" w:hAnsi="Times New Roman"/>
          <w:i/>
          <w:sz w:val="20"/>
        </w:rPr>
        <w:t>Canada-United States Tax Convention (1980)</w:t>
      </w:r>
      <w:r>
        <w:rPr>
          <w:rFonts w:ascii="Times New Roman" w:hAnsi="Times New Roman"/>
          <w:sz w:val="20"/>
        </w:rPr>
        <w:t>, as amended (the “</w:t>
      </w:r>
      <w:r>
        <w:rPr>
          <w:rFonts w:ascii="Times New Roman" w:hAnsi="Times New Roman"/>
          <w:b/>
          <w:sz w:val="20"/>
        </w:rPr>
        <w:t>Convention</w:t>
      </w:r>
      <w:r>
        <w:rPr>
          <w:rFonts w:ascii="Times New Roman" w:hAnsi="Times New Roman"/>
          <w:sz w:val="20"/>
        </w:rPr>
        <w:t>”) and counsel’s understanding of the current administrative policies and assessing practices of the Canada Revenue Agency (the “</w:t>
      </w:r>
      <w:r>
        <w:rPr>
          <w:rFonts w:ascii="Times New Roman" w:hAnsi="Times New Roman"/>
          <w:b/>
          <w:sz w:val="20"/>
        </w:rPr>
        <w:t>CRA</w:t>
      </w:r>
      <w:r>
        <w:rPr>
          <w:rFonts w:ascii="Times New Roman" w:hAnsi="Times New Roman"/>
          <w:sz w:val="20"/>
        </w:rPr>
        <w:t xml:space="preserve">”) published in writing and made publicly available by the CRA prior to the date hereof. This summary assumes that the Tax Proposals will be enacted in the form proposed, although no assurance can be given that the Tax Proposals will be enacted in their current form or at all. This summary does not otherwise take into account or anticipate any changes in law or in the administrative policies or assessing practices of the CRA, whether by way of judicial, legislative or governmental decision or action.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is not exhaustive of all possible Canadian federal income tax considerations of acquiring the Shares and does not take into account other federal or any provincial, territorial or foreign income tax legislation or considerations, which may differ materially from those described in this summary. This summary is of a general nature only and is not, and is not intended to be, and should not be construed to be, legal, business or tax advice to any particular Holder, and no representations concerning the tax consequences to any particular Holder are made. The tax consequences of acquiring, holding and disposing of the Shares will vary according to the Holder’s particular circumstances. Holders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consult their own tax advisors regarding the tax considerations applicable to them having regard to their particular circumstances. This summary does not address any tax considerations applicable to persons other than Holders and such persons should consult their own tax advisors regarding the consequences of acquiring, holding and disposing of the Shares under the Tax Act and any jurisdiction in which they may be subject to tax. </w:t>
      </w:r>
    </w:p>
    <w:p>
      <w:pPr>
        <w:pStyle w:val="TextBody"/>
        <w:bidi w:val="0"/>
        <w:spacing w:before="360" w:after="0"/>
        <w:jc w:val="left"/>
        <w:rPr>
          <w:rFonts w:ascii="Times New Roman" w:hAnsi="Times New Roman"/>
          <w:i/>
          <w:sz w:val="20"/>
        </w:rPr>
      </w:pPr>
      <w:r>
        <w:rPr>
          <w:rFonts w:ascii="Times New Roman" w:hAnsi="Times New Roman"/>
          <w:i/>
          <w:sz w:val="20"/>
        </w:rPr>
        <w:t xml:space="preserve">Currency Conversion </w:t>
      </w:r>
    </w:p>
    <w:p>
      <w:pPr>
        <w:pStyle w:val="TextBody"/>
        <w:bidi w:val="0"/>
        <w:spacing w:before="120" w:after="0"/>
        <w:jc w:val="left"/>
        <w:rPr>
          <w:rFonts w:ascii="Times New Roman" w:hAnsi="Times New Roman"/>
          <w:sz w:val="20"/>
        </w:rPr>
      </w:pPr>
      <w:r>
        <w:rPr>
          <w:rFonts w:ascii="Times New Roman" w:hAnsi="Times New Roman"/>
          <w:sz w:val="20"/>
        </w:rPr>
        <w:t xml:space="preserve">Generally, for purposes of the Tax Act, all amounts relating to the acquisition, holding or disposition of the Shares (including dividends, adjusted cost base and proceeds of disposition) must be expressed in Canadian dollars based on the applicable exchange rate as determined in accordance with the Tax Act. </w:t>
      </w:r>
    </w:p>
    <w:p>
      <w:pPr>
        <w:pStyle w:val="TextBody"/>
        <w:bidi w:val="0"/>
        <w:spacing w:before="360" w:after="0"/>
        <w:jc w:val="left"/>
        <w:rPr>
          <w:rFonts w:ascii="Times New Roman" w:hAnsi="Times New Roman"/>
          <w:i/>
          <w:sz w:val="20"/>
        </w:rPr>
      </w:pPr>
      <w:r>
        <w:rPr>
          <w:rFonts w:ascii="Times New Roman" w:hAnsi="Times New Roman"/>
          <w:i/>
          <w:sz w:val="20"/>
        </w:rPr>
        <w:t xml:space="preserve">Adjusted Cost Base of a Share </w:t>
      </w:r>
    </w:p>
    <w:p>
      <w:pPr>
        <w:pStyle w:val="TextBody"/>
        <w:bidi w:val="0"/>
        <w:spacing w:before="120" w:after="0"/>
        <w:jc w:val="left"/>
        <w:rPr>
          <w:rFonts w:ascii="Times New Roman" w:hAnsi="Times New Roman"/>
          <w:sz w:val="20"/>
        </w:rPr>
      </w:pPr>
      <w:r>
        <w:rPr>
          <w:rFonts w:ascii="Times New Roman" w:hAnsi="Times New Roman"/>
          <w:sz w:val="20"/>
        </w:rPr>
        <w:t xml:space="preserve">The adjusted cost base to a Holder of each Share acquired pursuant to the resale offering will be determined by averaging the cost of such Share with the adjusted cost base, determined immediately before the acquisition of such Share, of all common shares of the Company owned by such Holder as capital property at that time,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Residents of Canada </w:t>
      </w:r>
    </w:p>
    <w:p>
      <w:pPr>
        <w:pStyle w:val="TextBody"/>
        <w:bidi w:val="0"/>
        <w:spacing w:before="120" w:after="0"/>
        <w:jc w:val="left"/>
        <w:rPr>
          <w:rFonts w:ascii="Times New Roman" w:hAnsi="Times New Roman"/>
          <w:sz w:val="20"/>
        </w:rPr>
      </w:pPr>
      <w:r>
        <w:rPr>
          <w:rFonts w:ascii="Times New Roman" w:hAnsi="Times New Roman"/>
          <w:sz w:val="20"/>
        </w:rPr>
        <w:t>The following portion of this summary generally applies to a Holder who, for the purposes of the Tax Act and any applicable income tax treaty or convention, is resident or deemed to be resident in Canada at all relevant times (a “</w:t>
      </w:r>
      <w:r>
        <w:rPr>
          <w:rFonts w:ascii="Times New Roman" w:hAnsi="Times New Roman"/>
          <w:b/>
          <w:sz w:val="20"/>
        </w:rPr>
        <w:t>Resident Holder</w:t>
      </w:r>
      <w:r>
        <w:rPr>
          <w:rFonts w:ascii="Times New Roman" w:hAnsi="Times New Roman"/>
          <w:sz w:val="20"/>
        </w:rPr>
        <w:t xml:space="preserve">”). Certain Resident Holders whose Shares might not otherwise constitute capital property may be entitled to make, in certain circumstances, an irrevocable election permitted by subsection 39(4) of the Tax Act to have the Shares, and every other “Canadian security” (as defined in the Tax Act) owned by such Resident Holder in the taxation year of the election and in all subsequent taxation years, deemed to be capital property. Resident Holders should consult their own tax advisors regarding this election.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received or deemed to be received on the Shares by a Resident Holder will be included in computing a Resident Holder’s income for the year. In the case of a Resident Holder who is an individual (including certain trusts) such dividends will be subject to the gross-up and dividend tax credit rules normally applicable to “taxable dividends” received by an individual from a “taxable Canadian corporation” (each as defined in the Tax Act), including the enhanced gross-up and dividend tax credit for “eligible dividends” (as defined in the Tax Act) properly designated as such by the Company in accordance with the Tax Act. There may be limitations on the Company’s ability to designate any particular dividend as an “eligible dividend” and the Company has made no commitments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or deemed to be received on the Shares by a Resident Holder that is a corporation must be included in computing its income for the taxation year and will generally be deductible in computing its taxable income for the taxation year, subject to all restrictions under the Tax Act.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Resident Holder that is a “private corporation” or “subject corporation” (each as defined in the Tax Act) may be liable to pay an additional tax (refundable in certain circumstances) under Part IV of the Tax Act on dividends received or deemed to be received on the Shares to the extent that such dividends are deductible in computing the Resident Holder’s taxable income for the year. A “subject corporation” is generally a corporation (other than a private corporation) resident in Canada and controlled directly or indirectly by or for the benefit of an individual (other than a trust) or a related group of individuals (other than trusts).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Dispositions of Shares </w:t>
      </w:r>
    </w:p>
    <w:p>
      <w:pPr>
        <w:pStyle w:val="TextBody"/>
        <w:bidi w:val="0"/>
        <w:spacing w:before="120" w:after="0"/>
        <w:jc w:val="left"/>
        <w:rPr>
          <w:rFonts w:ascii="Times New Roman" w:hAnsi="Times New Roman"/>
          <w:sz w:val="20"/>
        </w:rPr>
      </w:pPr>
      <w:r>
        <w:rPr>
          <w:rFonts w:ascii="Times New Roman" w:hAnsi="Times New Roman"/>
          <w:sz w:val="20"/>
        </w:rPr>
        <w:t>A Resident Holder who disposes of, or is deemed to have disposed of, a Share (other than a disposition to the Company that is not a sale in the open market in the manner in which shares are normally purchased by any member of the public in the open market) will generally realize a capital gain (or incur a capital loss) equal to the amount by which the proceeds of disposition in respect of the Share as applicable, exceed (or are exceeded by) the aggregate of the adjusted cost base to the Resident Holder of such Share, immediately before the disposition or deemed disposition and any reasonable expenses incurred for the purpose of making the disposition. The tax treatment of capital gains and capital losses is discussed in greater detail below under the subheading “</w:t>
      </w:r>
      <w:r>
        <w:rPr>
          <w:rFonts w:ascii="Times New Roman" w:hAnsi="Times New Roman"/>
          <w:i/>
          <w:sz w:val="20"/>
        </w:rPr>
        <w:t>Capital Gains and Capital Losses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Capital Gains and Capital Losses </w:t>
      </w:r>
    </w:p>
    <w:p>
      <w:pPr>
        <w:pStyle w:val="TextBody"/>
        <w:bidi w:val="0"/>
        <w:spacing w:before="120" w:after="0"/>
        <w:jc w:val="left"/>
        <w:rPr>
          <w:rFonts w:ascii="Times New Roman" w:hAnsi="Times New Roman"/>
          <w:sz w:val="20"/>
        </w:rPr>
      </w:pPr>
      <w:r>
        <w:rPr>
          <w:rFonts w:ascii="Times New Roman" w:hAnsi="Times New Roman"/>
          <w:sz w:val="20"/>
        </w:rPr>
        <w:t>Generally, one-half of any capital gain (a “</w:t>
      </w:r>
      <w:r>
        <w:rPr>
          <w:rFonts w:ascii="Times New Roman" w:hAnsi="Times New Roman"/>
          <w:b/>
          <w:sz w:val="20"/>
        </w:rPr>
        <w:t>taxable capital gain</w:t>
      </w:r>
      <w:r>
        <w:rPr>
          <w:rFonts w:ascii="Times New Roman" w:hAnsi="Times New Roman"/>
          <w:sz w:val="20"/>
        </w:rPr>
        <w:t>”) realized by a Resident Holder must be included in the Resident Holder’s income for the taxation year in which the disposition occurs. Subject to and in accordance with the provisions of the Tax Act, one-half of any capital loss incurred by a Resident Holder (an “</w:t>
      </w:r>
      <w:r>
        <w:rPr>
          <w:rFonts w:ascii="Times New Roman" w:hAnsi="Times New Roman"/>
          <w:b/>
          <w:sz w:val="20"/>
        </w:rPr>
        <w:t>allowable capital loss</w:t>
      </w:r>
      <w:r>
        <w:rPr>
          <w:rFonts w:ascii="Times New Roman" w:hAnsi="Times New Roman"/>
          <w:sz w:val="20"/>
        </w:rPr>
        <w:t xml:space="preserve">”) must be deducted from taxable capital gains realized by the Resident Holder in the taxation year in which the disposition occurs. Allowable capital losses in excess of taxable capital gains for the taxation year of disposition generally may be carried back and deducted in any of the three preceding taxation years or carried forward and deducted in any subsequent year against net taxable capital gains (but not against other income) realized in such years, in the circumstances and to the extent provided in the Tax Act. </w:t>
      </w:r>
    </w:p>
    <w:p>
      <w:pPr>
        <w:pStyle w:val="TextBody"/>
        <w:bidi w:val="0"/>
        <w:spacing w:before="240" w:after="0"/>
        <w:jc w:val="left"/>
        <w:rPr>
          <w:rFonts w:ascii="Times New Roman" w:hAnsi="Times New Roman"/>
          <w:sz w:val="20"/>
        </w:rPr>
      </w:pPr>
      <w:r>
        <w:rPr>
          <w:rFonts w:ascii="Times New Roman" w:hAnsi="Times New Roman"/>
          <w:sz w:val="20"/>
        </w:rPr>
        <w:t xml:space="preserve">A capital loss realized on the disposition of a Share by a Resident Holder that is a corporation may in certain circumstances be reduced by the amount of dividends which have been previously received or deemed to have been received by the Resident Holder on the Share, or a share substituted for such share, as applicable, to the extent and under the circumstances specified by the Tax Act. Similar rules may apply where a corporation is, directly or indirectly through a trust or partnership, a member of a partnership or a beneficiary of a trust that owns Shares. Resident Holders to whom these rules may be relevant should consult their own tax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Refundable Tax </w:t>
      </w:r>
    </w:p>
    <w:p>
      <w:pPr>
        <w:pStyle w:val="TextBody"/>
        <w:bidi w:val="0"/>
        <w:spacing w:before="120" w:after="0"/>
        <w:jc w:val="left"/>
        <w:rPr>
          <w:rFonts w:ascii="Times New Roman" w:hAnsi="Times New Roman"/>
          <w:sz w:val="20"/>
        </w:rPr>
      </w:pPr>
      <w:r>
        <w:rPr>
          <w:rFonts w:ascii="Times New Roman" w:hAnsi="Times New Roman"/>
          <w:sz w:val="20"/>
        </w:rPr>
        <w:t xml:space="preserve">A Resident Holder that is, throughout the relevant taxation year, a “Canadian-controlled private corporation” (as defined in the Tax Act), or that is, at any time in the relevant taxation year, a “substantive CCPC” (as defined in the Tax Act) may be liable to pay an additional tax (refundable in certain circumstances) on its “aggregate investment income” (as defined in the Tax Act) for the year, including any taxable capital gains and dividends or deemed dividends that are not deductible in computing the Resident Holder’s taxable income. Resident Holders to whom these rules may be relevant should consult their own tax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Minimum Tax </w:t>
      </w:r>
    </w:p>
    <w:p>
      <w:pPr>
        <w:pStyle w:val="TextBody"/>
        <w:bidi w:val="0"/>
        <w:spacing w:before="120" w:after="0"/>
        <w:jc w:val="left"/>
        <w:rPr>
          <w:rFonts w:ascii="Times New Roman" w:hAnsi="Times New Roman"/>
          <w:sz w:val="20"/>
        </w:rPr>
      </w:pPr>
      <w:r>
        <w:rPr>
          <w:rFonts w:ascii="Times New Roman" w:hAnsi="Times New Roman"/>
          <w:sz w:val="20"/>
        </w:rPr>
        <w:t xml:space="preserve">Capital gains realized and taxable dividends received (or deemed to be received) by a Resident Holder who is an individual (including certain trusts) may give rise to minimum tax under the Tax Act. Such Resident Holders should consult their own tax advisors with respect to the application of minimum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of Canada </w:t>
      </w:r>
    </w:p>
    <w:p>
      <w:pPr>
        <w:pStyle w:val="TextBody"/>
        <w:bidi w:val="0"/>
        <w:spacing w:before="120" w:after="0"/>
        <w:jc w:val="left"/>
        <w:rPr>
          <w:rFonts w:ascii="Times New Roman" w:hAnsi="Times New Roman"/>
          <w:sz w:val="20"/>
        </w:rPr>
      </w:pPr>
      <w:r>
        <w:rPr>
          <w:rFonts w:ascii="Times New Roman" w:hAnsi="Times New Roman"/>
          <w:sz w:val="20"/>
        </w:rPr>
        <w:t>The following portion of this summary is generally applicable to a Holder who, at all relevant times, is neither resident in Canada nor deemed to be resident in Canada for purposes of the Tax Act and any applicable income tax treaty or convention, and who does not use or hold (and is not deemed to use or hold) the Shares in the course of carrying on a business (including an adventure or concern in the nature of trade) in Canada, or otherwise in connection with a business carried on in Canada (a “</w:t>
      </w:r>
      <w:r>
        <w:rPr>
          <w:rFonts w:ascii="Times New Roman" w:hAnsi="Times New Roman"/>
          <w:b/>
          <w:sz w:val="20"/>
        </w:rPr>
        <w:t>Non-Resident Holder</w:t>
      </w:r>
      <w:r>
        <w:rPr>
          <w:rFonts w:ascii="Times New Roman" w:hAnsi="Times New Roman"/>
          <w:sz w:val="20"/>
        </w:rPr>
        <w:t xml:space="preserve">”). The term “U.S. Holder,” for the purposes of this summary, means a Non-Resident Holder who, for purposes of the Convention, is at all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times a resident of the United States and is a “qualifying person” (within the meaning of the Convention) eligible for the full benefits of the Convention. In some circumstances, persons deriving amounts through fiscally transparent entities (including limited liability companies) may be entitled to benefits under the Convention. U.S. Holders are urged to consult their own tax advisors to determine their entitlement to benefits under the Convention and related compliance requirements based on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which are not discussed in this summary, may apply to a Non-Resident Holder that is an insurer that carries on an insurance business in Canada and elsewhere or is an “authorized foreign bank” (as defined in the Tax Act). Such Non-Resident Holders should consult their own tax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or credited, or deemed to be paid or credited, to a Non-Resident Holder by the Company on the Shares will be subject to Canadian withholding tax under the Tax Act at the rate of 25% on the gross amount of the dividend unless such rate is reduced by the terms of an applicable income tax treaty or convention between Canada and the country in which the Non-Resident Holder is resident. Such rate is generally reduced under the Convention to 15% if the beneficial owner of such dividend is a U.S. Holder. The rate of withholding tax is generally further reduced to 5% if the beneficial owner of such dividend is a U.S. Holder that is a company that owns, directly or indirectly, at least 10% of our voting stock. The </w:t>
      </w:r>
      <w:r>
        <w:rPr>
          <w:rFonts w:ascii="Times New Roman" w:hAnsi="Times New Roman"/>
          <w:i/>
          <w:sz w:val="20"/>
        </w:rPr>
        <w:t xml:space="preserve">Multilateral Convention to Implement Tax Treaty Related Measures to Prevent Base Erosion and Profit Shifting </w:t>
      </w:r>
      <w:r>
        <w:rPr>
          <w:rFonts w:ascii="Times New Roman" w:hAnsi="Times New Roman"/>
          <w:sz w:val="20"/>
        </w:rPr>
        <w:t>(the “</w:t>
      </w:r>
      <w:r>
        <w:rPr>
          <w:rFonts w:ascii="Times New Roman" w:hAnsi="Times New Roman"/>
          <w:b/>
          <w:sz w:val="20"/>
        </w:rPr>
        <w:t>MLI</w:t>
      </w:r>
      <w:r>
        <w:rPr>
          <w:rFonts w:ascii="Times New Roman" w:hAnsi="Times New Roman"/>
          <w:sz w:val="20"/>
        </w:rPr>
        <w:t xml:space="preserve">”) of which Canada is a signatory, affects many of Canada’s tax treaties (but not the Convention), including the ability to claim benefits thereunder. Non-Resident Holders should consult their own tax advisors to determine their entitlement to relief under an applicable income tax treaty or convention.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Dispositions of Shares </w:t>
      </w:r>
    </w:p>
    <w:p>
      <w:pPr>
        <w:pStyle w:val="TextBody"/>
        <w:bidi w:val="0"/>
        <w:spacing w:before="120" w:after="0"/>
        <w:jc w:val="left"/>
        <w:rPr>
          <w:rFonts w:ascii="Times New Roman" w:hAnsi="Times New Roman"/>
          <w:sz w:val="20"/>
        </w:rPr>
      </w:pPr>
      <w:r>
        <w:rPr>
          <w:rFonts w:ascii="Times New Roman" w:hAnsi="Times New Roman"/>
          <w:sz w:val="20"/>
        </w:rPr>
        <w:t xml:space="preserve">A Non-Resident Holder will generally not be subject to tax under the Tax Act in respect of any capital gain realized by such Non-Resident Holder on a disposition or deemed disposition of a Share nor will capital losses arising therefrom be recognized under the Tax Act, unless the Share constitutes “taxable Canadian property” (as defined in the Tax Act) of the Non-Resident Holder at the time of disposition and the Non-Resident Holder is not entitled to relief under an applicable income tax treaty or convention between Canada and the country in which the Non-Resident Holder is resident at the time of the disposition (including as a result of the application of the MLI). </w:t>
      </w:r>
    </w:p>
    <w:p>
      <w:pPr>
        <w:pStyle w:val="TextBody"/>
        <w:bidi w:val="0"/>
        <w:spacing w:before="240" w:after="0"/>
        <w:jc w:val="left"/>
        <w:rPr>
          <w:rFonts w:ascii="Times New Roman" w:hAnsi="Times New Roman"/>
          <w:sz w:val="20"/>
        </w:rPr>
      </w:pPr>
      <w:r>
        <w:rPr>
          <w:rFonts w:ascii="Times New Roman" w:hAnsi="Times New Roman"/>
          <w:sz w:val="20"/>
        </w:rPr>
        <w:t>Generally the Shares acquired pursuant to the resale offering will not be “taxable Canadian property” to a Non-Resident Holder if the Shares of the Company are listed on a “designated stock exchange”, as defined in the Tax Act (which currently includes the TSX and the Nasdaq) at the time of disposition or deemed disposition, unless at any time during the 60 month period immediately preceding the disposition or deemed disposition, the following two conditions are satisfied concurrently: (i) any one or combination of (a) the Non-Resident Holder; (b) persons with whom the Non-Resident Holder did not deal at arm’s length (for the purposes of the Tax Act); or (c) partnerships in which the Non-Resident Holder or a person described in (b) holds a membership interest, directly or indirectly through one or more partnerships, owned 25% or more of the issued shares of any class or series of shares of the capital stock of the Company; and (ii) more than 50% of the fair market value of the common shares was derived, directly or indirectly, from one or any combination of real or immovable property situated in Canada, “Canadian resource property”, “timber resource property” (each as defined in the Tax Act), and options in respect of, interests in, or, for civil law, rights in, any such property (whether or not the property exists). Pursuant to Tax Proposals released by the Department of Finance (Canada) on July 23, 2026 (the “</w:t>
      </w:r>
      <w:r>
        <w:rPr>
          <w:rFonts w:ascii="Times New Roman" w:hAnsi="Times New Roman"/>
          <w:b/>
          <w:sz w:val="20"/>
        </w:rPr>
        <w:t>TCP Proposals</w:t>
      </w:r>
      <w:r>
        <w:rPr>
          <w:rFonts w:ascii="Times New Roman" w:hAnsi="Times New Roman"/>
          <w:sz w:val="20"/>
        </w:rPr>
        <w:t xml:space="preserve">”), shares that are listed on a designated stock exchange would be deemed to include an option, an interest or right in such shares, whether or not such shares exist, such that any such options, interests or rights held by a Non-Resident Holder would be included in determining whether such Non-Resident Holder exceeds the 25% threshold described in (i) above. The TCP Proposals are proposed to come into force on Royal Assent. Notwithstanding the foregoing, in certain other circumstances set out in the Tax Act, the Shares may also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deemed to be taxable Canadian property to a Non-Resident Holder. </w:t>
      </w:r>
      <w:r>
        <w:rPr>
          <w:rFonts w:ascii="Times New Roman" w:hAnsi="Times New Roman"/>
          <w:b/>
          <w:sz w:val="20"/>
        </w:rPr>
        <w:t>A Non-Resident Holder should consult their own tax advisors as to whether their Shares constitute taxable Canadian property in their own particular circumstances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or are deemed to be taxable Canadian property of a Non-Resident Holder, any capital gain realized on the disposition or deemed disposition of such Shares may not be subject to tax under the Tax Act pursuant to the terms of an applicable income tax treaty or convention (subject to the application of the MLI). </w:t>
      </w:r>
    </w:p>
    <w:p>
      <w:pPr>
        <w:pStyle w:val="TextBody"/>
        <w:bidi w:val="0"/>
        <w:spacing w:before="240" w:after="0"/>
        <w:jc w:val="left"/>
        <w:rPr>
          <w:rFonts w:ascii="Times New Roman" w:hAnsi="Times New Roman"/>
          <w:sz w:val="20"/>
        </w:rPr>
      </w:pPr>
      <w:r>
        <w:rPr>
          <w:rFonts w:ascii="Times New Roman" w:hAnsi="Times New Roman"/>
          <w:sz w:val="20"/>
        </w:rPr>
        <w:t>In the event that a Share constitutes taxable Canadian property of a Non-Resident Holder and any capital gain that would be realized on the disposition or deemed disposition thereof is not exempt from tax under the Tax Act pursuant to an applicable income tax convention or treaty (including as a result of the application of the MLI), the income tax consequences discussed under “</w:t>
      </w:r>
      <w:r>
        <w:rPr>
          <w:rFonts w:ascii="Times New Roman" w:hAnsi="Times New Roman"/>
          <w:i/>
          <w:sz w:val="20"/>
        </w:rPr>
        <w:t>Residents of Canada – Dispositions of Shares</w:t>
      </w:r>
      <w:r>
        <w:rPr>
          <w:rFonts w:ascii="Times New Roman" w:hAnsi="Times New Roman"/>
          <w:sz w:val="20"/>
        </w:rPr>
        <w:t>” and “</w:t>
      </w:r>
      <w:r>
        <w:rPr>
          <w:rFonts w:ascii="Times New Roman" w:hAnsi="Times New Roman"/>
          <w:i/>
          <w:sz w:val="20"/>
        </w:rPr>
        <w:t>Residents of Canada – Capital Gains and Capital Losses</w:t>
      </w:r>
      <w:r>
        <w:rPr>
          <w:rFonts w:ascii="Times New Roman" w:hAnsi="Times New Roman"/>
          <w:sz w:val="20"/>
        </w:rPr>
        <w:t xml:space="preserve">” will generally apply to the Non-Resident Holder. </w:t>
      </w:r>
    </w:p>
    <w:p>
      <w:pPr>
        <w:pStyle w:val="TextBody"/>
        <w:bidi w:val="0"/>
        <w:spacing w:before="240" w:after="0"/>
        <w:jc w:val="left"/>
        <w:rPr>
          <w:rFonts w:ascii="Times New Roman" w:hAnsi="Times New Roman"/>
          <w:b/>
          <w:sz w:val="20"/>
        </w:rPr>
      </w:pPr>
      <w:r>
        <w:rPr>
          <w:rFonts w:ascii="Times New Roman" w:hAnsi="Times New Roman"/>
          <w:b/>
          <w:sz w:val="20"/>
        </w:rPr>
        <w:t xml:space="preserve">A Non-Resident Holder whose Shares may constitute taxable Canadian property should consult a tax advisor regarding the tax and compliance considerations that may be relevant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supptoc343554_18"/>
      <w:bookmarkEnd w:id="20"/>
      <w:r>
        <w:rPr>
          <w:rFonts w:ascii="Times New Roman" w:hAnsi="Times New Roman"/>
          <w:b/>
          <w:sz w:val="20"/>
        </w:rPr>
        <w:t xml:space="preserve">CERTAIN MATERIAL UNITED STATES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Subject to the limitations and qualifications stated herein, this discussion sets forth certain material U.S. federal income tax considerations relating to the ownership and disposition by U.S. Holders (as hereinafter defined) of the Shares. The discussion is based on the U.S. Internal Revenue Code of 1986, as amended (the “</w:t>
      </w:r>
      <w:r>
        <w:rPr>
          <w:rFonts w:ascii="Times New Roman" w:hAnsi="Times New Roman"/>
          <w:b/>
          <w:sz w:val="20"/>
        </w:rPr>
        <w:t>Code</w:t>
      </w:r>
      <w:r>
        <w:rPr>
          <w:rFonts w:ascii="Times New Roman" w:hAnsi="Times New Roman"/>
          <w:sz w:val="20"/>
        </w:rPr>
        <w:t xml:space="preserve">”), its legislative history, existing and proposed U.S. Treasury Regulations thereunder, published rulings and court decisions, all as in effect as of the date hereof, and all of which are subject to change in a material and adverse manner at any time, and any such change could be applied retroactively. This summary does not discuss the potential effects, whether adverse or beneficial, of any proposed legislation that, if enacted, could be applied on a retroactive or prospective basis. </w:t>
      </w:r>
    </w:p>
    <w:p>
      <w:pPr>
        <w:pStyle w:val="TextBody"/>
        <w:bidi w:val="0"/>
        <w:spacing w:before="240" w:after="0"/>
        <w:jc w:val="left"/>
        <w:rPr>
          <w:rFonts w:ascii="Times New Roman" w:hAnsi="Times New Roman"/>
          <w:sz w:val="20"/>
        </w:rPr>
      </w:pPr>
      <w:r>
        <w:rPr>
          <w:rFonts w:ascii="Times New Roman" w:hAnsi="Times New Roman"/>
          <w:sz w:val="20"/>
        </w:rPr>
        <w:t>No opinion from legal counsel or ruling from the Internal Revenue Service (the “</w:t>
      </w:r>
      <w:r>
        <w:rPr>
          <w:rFonts w:ascii="Times New Roman" w:hAnsi="Times New Roman"/>
          <w:b/>
          <w:sz w:val="20"/>
        </w:rPr>
        <w:t>IRS</w:t>
      </w:r>
      <w:r>
        <w:rPr>
          <w:rFonts w:ascii="Times New Roman" w:hAnsi="Times New Roman"/>
          <w:sz w:val="20"/>
        </w:rPr>
        <w:t xml:space="preserve">”) has been requested, or will be obtained, regarding the U.S. federal income tax considerations applicable to U.S. Holders as discussed in this summary.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applies only to U.S. Holders that acquire Shares in the resale offering and that hold those Shares as capital assets (generally, property held for investment). This discussion does not describe all of the tax consequences that may be relevant in light of a U.S. Holder’s particular circumstances. This summary is for general information purposes only and does not purport to be a complete analysis or listing of all potential U.S. federal income tax considerations that may apply to a U.S. Holder as a result of the acquisition of Shares pursuant to the resale offering. In addition, this summary does not take into account the individual facts and circumstances of any particular U.S. Holder that may affect the U.S. federal income tax consequences to such U.S. Holder, including specific tax consequences to a U.S. Holder under an applicable tax treaty. Accordingly, this summary is not intended to be, and should not be construed as, legal or U.S. federal income tax advice with respect to any particular U.S. Holder. This summary does not address the U.S. federal net investment income, U.S. federal alternative minimum, U.S. federal estate and gift, U.S. state and local, and non-U.S. tax consequences to U.S. Holders of the acquisition, ownership, and disposition of the securities. Except as specifically set forth below, this summary does not discuss applicable tax reporting requirements. Each U.S. Holder should consult its own tax advisor regarding the U.S. federal, U.S. federal net investment income, U.S. federal alternative minimum, U.S. federal estate and gift, U.S. state and local, and non-U.S. tax consequences relating to the acquisition, ownership and disposition of the Shares. In addition, this discussion does not discuss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commodities or currencies or other persons that generally mark their securities to market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Shares as part of a hedging transaction, “straddle,” wash sale, conversion transaction or integrated transaction or persons entering into a constructive sale with respect to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the Shares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Shares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Shares in connection with a trade or business, permanent establishment, or fixed base outside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10% or more (by vote or value) of our outstanding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Shares, the U.S. federal income tax treatment of a partner will generally depend on the status of the partner and the activities of the partnership. Partnerships holding Shares and partners in such partnerships are encouraged to consult their tax advisers as to the particular U.S. federal income tax consequences of holding and disposing of Shares.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U.S. Holder</w:t>
      </w:r>
      <w:r>
        <w:rPr>
          <w:rFonts w:ascii="Times New Roman" w:hAnsi="Times New Roman"/>
          <w:sz w:val="20"/>
        </w:rPr>
        <w:t xml:space="preserve">” is a holder who, for U.S. federal income tax purposes, is a beneficial owner of Shares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(within the meaning of Section 7701(a)(30) of the Code) have authority to control all substantial decisions of the trust or (2) the trust has a valid election in effect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CONSIDERING AN INVESTMENT IN SHARES SHOULD CONSULT THEIR OWN TAX ADVISORS AS TO THE PARTICULAR TAX CONSEQUENCES APPLICABLE TO THEM RELATING TO THE OWNERSHIP AND DISPOSITION OF THE SHARES, INCLUDING THE APPLICABILITY OF U.S. FEDERAL, STATE AND LOCAL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If we are considered a “passive foreign investment company” within the meaning of Section 1297 of the Code (a “</w:t>
      </w:r>
      <w:r>
        <w:rPr>
          <w:rFonts w:ascii="Times New Roman" w:hAnsi="Times New Roman"/>
          <w:b/>
          <w:sz w:val="20"/>
        </w:rPr>
        <w:t>PFIC</w:t>
      </w:r>
      <w:r>
        <w:rPr>
          <w:rFonts w:ascii="Times New Roman" w:hAnsi="Times New Roman"/>
          <w:sz w:val="20"/>
        </w:rPr>
        <w:t xml:space="preserve">”) at any time during a U.S. Holder’s holding period, the following sections will generally describe the potentially adverse U.S. federal income tax consequences to U.S. Holders of the acquisition,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In any year in which we are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w:t>
      </w:r>
    </w:p>
    <w:p>
      <w:pPr>
        <w:pStyle w:val="TextBody"/>
        <w:bidi w:val="0"/>
        <w:spacing w:before="240" w:after="0"/>
        <w:jc w:val="left"/>
        <w:rPr>
          <w:rFonts w:ascii="Times New Roman" w:hAnsi="Times New Roman"/>
          <w:sz w:val="20"/>
        </w:rPr>
      </w:pPr>
      <w:r>
        <w:rPr>
          <w:rFonts w:ascii="Times New Roman" w:hAnsi="Times New Roman"/>
          <w:sz w:val="20"/>
        </w:rPr>
        <w:t>We generally will be a PFIC for any tax year in which (a) 75% or more of our gross income for such tax year is passive income (the “</w:t>
      </w:r>
      <w:r>
        <w:rPr>
          <w:rFonts w:ascii="Times New Roman" w:hAnsi="Times New Roman"/>
          <w:b/>
          <w:sz w:val="20"/>
        </w:rPr>
        <w:t>PFIC income test</w:t>
      </w:r>
      <w:r>
        <w:rPr>
          <w:rFonts w:ascii="Times New Roman" w:hAnsi="Times New Roman"/>
          <w:sz w:val="20"/>
        </w:rPr>
        <w:t>”) or (b) 50% or more of the value of our assets either produce passive income or are held for the production of passive income, based on the quarterly average of the fair market value of such assets (the “</w:t>
      </w:r>
      <w:r>
        <w:rPr>
          <w:rFonts w:ascii="Times New Roman" w:hAnsi="Times New Roman"/>
          <w:b/>
          <w:sz w:val="20"/>
        </w:rPr>
        <w:t>PFIC asset test</w:t>
      </w:r>
      <w:r>
        <w:rPr>
          <w:rFonts w:ascii="Times New Roman" w:hAnsi="Times New Roman"/>
          <w:sz w:val="20"/>
        </w:rPr>
        <w:t xml:space="preserve">”). “Gross income” generally includes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PFIC income test and PFIC asset test described above, if we own, directly or indirectly, 25% or more of the total value of the outstanding shares of another corporation, we will be treated as if we (a) held a proportionate share of the assets of such other corporation and (b) received directly a proportionate share of the income of such other corporation. In addition, for purposes of the PFIC income test and PFIC asset test described above, “passive income” does not include any interest, dividends, rents, or royalties that are received or accrued by us from a “related person” (as defined in Section 954(d)(3) of the Code), to the extent such items are properly allocable to the income of such related person that is not passive income. </w:t>
      </w:r>
    </w:p>
    <w:p>
      <w:pPr>
        <w:pStyle w:val="TextBody"/>
        <w:bidi w:val="0"/>
        <w:spacing w:before="240" w:after="0"/>
        <w:jc w:val="left"/>
        <w:rPr>
          <w:rFonts w:ascii="Times New Roman" w:hAnsi="Times New Roman"/>
          <w:sz w:val="20"/>
        </w:rPr>
      </w:pPr>
      <w:r>
        <w:rPr>
          <w:rFonts w:ascii="Times New Roman" w:hAnsi="Times New Roman"/>
          <w:sz w:val="20"/>
        </w:rPr>
        <w:t>Under certain attribution rules, if we are a PFIC, U.S. Holders will be deemed to own their proportionate share of any of our subsidiaries which is also a PFIC (a “</w:t>
      </w:r>
      <w:r>
        <w:rPr>
          <w:rFonts w:ascii="Times New Roman" w:hAnsi="Times New Roman"/>
          <w:b/>
          <w:sz w:val="20"/>
        </w:rPr>
        <w:t>Subsidiary PFIC</w:t>
      </w:r>
      <w:r>
        <w:rPr>
          <w:rFonts w:ascii="Times New Roman" w:hAnsi="Times New Roman"/>
          <w:sz w:val="20"/>
        </w:rPr>
        <w:t xml:space="preserve">”), and will generally be subject to U.S. federal income tax under the “Default PFIC Rules Under Section 1291 of the Code” discussed below on their proportionate share of any (i) distribution on the shares of a Subsidiary PFIC and (ii) disposition or deemed disposition of shares of a Subsidiary PFIC, both as if such U.S. Holders directly held the shares of such Subsidiary PFIC. Accordingly, U.S. Holders should be aware that they could be subject to tax under the PFIC rules even if no distributions are received and no redemptions or other dispositions of the securities are made. In addition, U.S. Holders may be subject to U.S. federal income tax on any indirect gain realized on the stock of a Subsidiary PFIC on the sale or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and without limiting the foregoing, while the Company believes that it was likely a PFIC for its most recent taxable year ended, no definitive analysis has been undertaken as to whether the Company was a PFIC for its most recent taxable year or whether it will be for the current or for future taxable years. A separate determination must be made after the close of each taxable year as to whether we are a PFIC for that year, and as a result, our PFIC status may change from year to year. The total value of our assets for purposes of the asset test generally will be calculated using the market price of all of our outstanding shares, which may fluctuate considerably. Fluctuations in the market price of our shares may result in us being a PFIC for any taxable year. Because PFIC status is determined annually based on facts that may change, there can be no assurance regarding whether we currently are treated as a PFIC, or may be treated as a PFIC in the future. If we are classified as a PFIC in any year during which a U.S. Holder holds the Shares, we generally will continue to be treated as a PFIC as to such U.S. Holder in all succeeding years, regardless of whether we continue to meet the PFIC income test or PFIC asset test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Default PFIC Rules Under Section 1291 of the Code </w:t>
      </w:r>
    </w:p>
    <w:p>
      <w:pPr>
        <w:pStyle w:val="TextBody"/>
        <w:bidi w:val="0"/>
        <w:spacing w:before="120" w:after="0"/>
        <w:jc w:val="left"/>
        <w:rPr>
          <w:rFonts w:ascii="Times New Roman" w:hAnsi="Times New Roman"/>
          <w:sz w:val="20"/>
        </w:rPr>
      </w:pPr>
      <w:r>
        <w:rPr>
          <w:rFonts w:ascii="Times New Roman" w:hAnsi="Times New Roman"/>
          <w:sz w:val="20"/>
        </w:rPr>
        <w:t>If we are a PFIC, the U.S. federal income tax consequences to a U.S. Holder of the acquisition, ownership, and disposition of the Shares will depend on whether such U.S. Holder makes a “qualified electing fund” or “QEF” election (a “</w:t>
      </w:r>
      <w:r>
        <w:rPr>
          <w:rFonts w:ascii="Times New Roman" w:hAnsi="Times New Roman"/>
          <w:b/>
          <w:sz w:val="20"/>
        </w:rPr>
        <w:t>QEF Election</w:t>
      </w:r>
      <w:r>
        <w:rPr>
          <w:rFonts w:ascii="Times New Roman" w:hAnsi="Times New Roman"/>
          <w:sz w:val="20"/>
        </w:rPr>
        <w:t>”) or makes a mark-to-market election under Section 1296 of the Code (a “</w:t>
      </w:r>
      <w:r>
        <w:rPr>
          <w:rFonts w:ascii="Times New Roman" w:hAnsi="Times New Roman"/>
          <w:b/>
          <w:sz w:val="20"/>
        </w:rPr>
        <w:t>Mark-to-Market Election</w:t>
      </w:r>
      <w:r>
        <w:rPr>
          <w:rFonts w:ascii="Times New Roman" w:hAnsi="Times New Roman"/>
          <w:sz w:val="20"/>
        </w:rPr>
        <w:t>”) with respect to the Shares. A U.S. Holder that does not make either a QEF Election or a Mark-to-Market Election (a “</w:t>
      </w:r>
      <w:r>
        <w:rPr>
          <w:rFonts w:ascii="Times New Roman" w:hAnsi="Times New Roman"/>
          <w:b/>
          <w:sz w:val="20"/>
        </w:rPr>
        <w:t>Non-Electing U.S. Holder</w:t>
      </w:r>
      <w:r>
        <w:rPr>
          <w:rFonts w:ascii="Times New Roman" w:hAnsi="Times New Roman"/>
          <w:sz w:val="20"/>
        </w:rPr>
        <w:t xml:space="preserve">”) will be taxable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Non-Electing U.S. Holder will be subject to the rules of Section 1291 of the Code with respect to (a) any gain recognized on the sale or other taxable disposition of the securities and (b) any excess distribution received on the securities.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securities, if shorter).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Section 1291 of the Code, any gain recognized on the sale or other taxable disposition of the securities of a PFIC (including an indirect disposition of shares of a Subsidiary PFIC), and any excess distribution received on such securities (or a distribution by a Subsidiary PFIC to its shareholder that is deemed to be received by a U.S. Holder) must be ratably allocated to each day in a Non-Electing U.S. Holder’s holding period for the securities. The amount of any such gain or excess distribution allocated to the tax year of disposition or distribution of the excess distribution and to years before the entity became a PFIC, if any, would be taxed as ordinary income (and not eligible for certain preferential tax rates, as discussed below).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 year during which a Non-Electing U.S. Holder holds the Shares, it will continue to be treated as a PFIC with respect to such Non-Electing U.S. Holder, regardless of whether it ceases to be a PFIC in one or more subsequent tax years. If we cease to be a PFIC, a Non-Electing U.S. Holder may terminate this deemed PFIC status with respect to the Shares by electing to recognize gain (which will be taxed under the rules of Section 1291 of the Code as discussed above) as if such securities were sold on the last day of the last tax year for which we were a PFIC. </w:t>
      </w:r>
    </w:p>
    <w:p>
      <w:pPr>
        <w:pStyle w:val="TextBody"/>
        <w:bidi w:val="0"/>
        <w:spacing w:before="360" w:after="0"/>
        <w:jc w:val="left"/>
        <w:rPr>
          <w:rFonts w:ascii="Times New Roman" w:hAnsi="Times New Roman"/>
          <w:i/>
          <w:sz w:val="20"/>
        </w:rPr>
      </w:pPr>
      <w:r>
        <w:rPr>
          <w:rFonts w:ascii="Times New Roman" w:hAnsi="Times New Roman"/>
          <w:i/>
          <w:sz w:val="20"/>
        </w:rPr>
        <w:t xml:space="preserve">QEF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makes a QEF Election for the first tax year in which its holding period of its Shares begins generally will not be subject to the rules of Section 1291 of the Code discussed above with respect to its Shares. However, a U.S. Holder that makes a QEF Election will be subject to U.S. federal income tax on such U.S. Holder’s pro rata share of (a) our net capital gain, which will be taxed as long-term capital gain to such U.S. Holder, and (b) our ordinary earnings,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we are a PFIC, regardless of whether such amounts are actually distributed to such U.S. Holder by us. However, for any tax year in which we are a PFIC and have no ordinary earnings or net capital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timely QEF Election generally may receive a tax-free distribution from us to the extent that such distribution represents “earnings and profits” that were previously included in income by the U.S. Holder because of such QEF Election. In addition, a U.S. Holder that makes a QEF Election generally will recognize capital gain or loss on the sale or other taxable disposition of Shares. </w:t>
      </w:r>
    </w:p>
    <w:p>
      <w:pPr>
        <w:pStyle w:val="TextBody"/>
        <w:bidi w:val="0"/>
        <w:spacing w:before="240" w:after="0"/>
        <w:jc w:val="left"/>
        <w:rPr>
          <w:rFonts w:ascii="Times New Roman" w:hAnsi="Times New Roman"/>
          <w:sz w:val="20"/>
        </w:rPr>
      </w:pPr>
      <w:r>
        <w:rPr>
          <w:rFonts w:ascii="Times New Roman" w:hAnsi="Times New Roman"/>
          <w:sz w:val="20"/>
        </w:rPr>
        <w:t xml:space="preserve">The procedure for making a QEF Election, and the U.S. federal income tax consequences of making a QEF Election, will depend on whether such QEF Election is timely. A QEF Election will be treated as “timely” for purposes of avoiding the default PFIC rules discussed above if such QEF Election is made for the first year in the U.S. Holder’s holding period for the Shares in which we were a PFIC. A U.S. Holder may make a timely QEF Election by filing the appropriate QEF Election documents at the time such U.S. Holder files a U.S. federal income tax return for such year. </w:t>
      </w:r>
    </w:p>
    <w:p>
      <w:pPr>
        <w:pStyle w:val="TextBody"/>
        <w:bidi w:val="0"/>
        <w:spacing w:before="240" w:after="0"/>
        <w:jc w:val="left"/>
        <w:rPr>
          <w:rFonts w:ascii="Times New Roman" w:hAnsi="Times New Roman"/>
          <w:sz w:val="20"/>
        </w:rPr>
      </w:pPr>
      <w:r>
        <w:rPr>
          <w:rFonts w:ascii="Times New Roman" w:hAnsi="Times New Roman"/>
          <w:sz w:val="20"/>
        </w:rPr>
        <w:t xml:space="preserve">A QEF Election will apply to the tax year for which such QEF Election is made and to all subsequent tax years, unless such QEF Election is invalidated or terminated or the IRS consents to revocation of such QEF Election. If a U.S. Holder makes a QEF Election and, in a subsequent tax year, we cease to be a PFIC, the QEF Election will remain in effect (although it will not be applicable) during those tax years in which we are not a PFIC.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if we become a PFIC in another subsequent tax year, the QEF Election will be effective, and the U.S. Holder will be subject to the QEF rules described above during any subsequent tax year in which we qualify as a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by attaching a completed IRS Form 8621, including a PFIC Annual Information Statement, to a timely filed U.S. federal income tax return. However, if we do not provide the required information with regard to us or any of our Subsidiary PFICs, U.S. Holders will not be able to make a QEF Election for such entity and will continue to be subject to the rules of Section 1291 of the Code discussed above that apply to Non-Electing U.S. Holders with respect to the taxation of gains and excess distributions. There can be no assurance that we will satisfy the record keeping requirements or provide the information necessary for U.S. Holders to make a QEF Election. </w:t>
      </w:r>
    </w:p>
    <w:p>
      <w:pPr>
        <w:pStyle w:val="TextBody"/>
        <w:bidi w:val="0"/>
        <w:spacing w:before="360" w:after="0"/>
        <w:jc w:val="left"/>
        <w:rPr>
          <w:rFonts w:ascii="Times New Roman" w:hAnsi="Times New Roman"/>
          <w:i/>
          <w:sz w:val="20"/>
        </w:rPr>
      </w:pPr>
      <w:r>
        <w:rPr>
          <w:rFonts w:ascii="Times New Roman" w:hAnsi="Times New Roman"/>
          <w:i/>
          <w:sz w:val="20"/>
        </w:rPr>
        <w:t xml:space="preserve">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make a Mark-to-Market Election with respect to the Shares only if such shares are marketable stock. The Shares generally will be “marketable stock” if the Shares are regularly traded on (a) a national securities exchange that is registered with the SEC, (b) the national market system established pursuant to Section 11A of the U.S. Exchange Act or (c) a foreign securities exchange that is regulated or supervised by a governmental authority of the country in which the market is located, provided that (i) such foreign exchange has trading volume, listing, financial disclosure, and other requirements and the laws of the country in which such foreign exchange is located, together with the rules of such foreign exchange, ensure that such requirements are actually enforced and (ii) the rules of such foreign exchange ensure active trading of listed stocks. If such stock is traded on such a qualified exchange or other market, such stock generally will be considered “regularly traded” for any calendar year during which such stock is traded, other than in de minimis quantities, on at least 15 days during each calendar quarter. Provided that the Shares are “regularly traded” as described in the preceding sentence, such shares are expected to be marketable stock. There can be no assurance that the Shares will be “regularly traded” in subsequent calendar quarters. U.S. Holders should consult their own tax advisors regarding the marketable stock rules. The balance of this discussion generally assumes that a Mark-to-Market Election may be made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with respect to its Shares generally will not be subject to the rules of Section 1291 of the Code discussed above with respect to such Shares. However, if a U.S. Holder does not make a Mark-to-Market Election beginning in the first tax year of such U.S. Holder’s holding period for the Shares and such U.S. Holder has not made a timely QEF Election, the rules of Section 1291 of the Code discussed above will apply to certain dispositions of, and distributions on, the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will include in ordinary income, for each tax year in which we are a PFIC, an amount equal to the excess, if any, of (a) the fair market value of the Shares as of the close of such tax year over (b) such U.S. Holder’s tax basis in such securities. A U.S. Holder that makes a Mark-to-Market Election will be allowed a deduction in an amount equal to the excess, if any, of (i) such U.S. Holder’s adjusted tax basis in the Shares, over (ii) the fair market value of such securities (but only to the extent of the net amount of previously included income as a result of the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generally also will adjust such U.S. Holder’s tax basis in the Shares to reflect the amount included in gross income or allowed as a deduction because of such Mark-to-Market Election. In addition, upon a sale or other taxable disposition of such securities,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Mark-to-Market Election by attaching a completed IRS Form 8621 to a timely filed U.S. federal income tax return. A timely Mark-to-Market Election applies to the tax year in which such Mark-to-Market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Election is made and to each subsequent tax year, unless the securities cease to be “marketable stock” or the IRS consents to revocation of such election. Each U.S. Holder should consult its own tax advisor regarding the availability of, and procedure for making, a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 U.S. Holder may be eligible to make a Mark-to-Market Election with respect to the Shares, no such election may be made with respect to the stock of any Subsidiary PFIC that a U.S. Holder is treated as owning because such stock is not marketable. Hence, the Mark-to-Market Election will not be effective to eliminate the interest charge and other income inclusion rules described above with respect to deemed dispositions of Subsidiary PFIC stock or distributions from a Subsidiary PFIC to its shareholder. </w:t>
      </w:r>
    </w:p>
    <w:p>
      <w:pPr>
        <w:pStyle w:val="TextBody"/>
        <w:bidi w:val="0"/>
        <w:spacing w:before="360" w:after="0"/>
        <w:jc w:val="left"/>
        <w:rPr>
          <w:rFonts w:ascii="Times New Roman" w:hAnsi="Times New Roman"/>
          <w:i/>
          <w:sz w:val="20"/>
        </w:rPr>
      </w:pPr>
      <w:r>
        <w:rPr>
          <w:rFonts w:ascii="Times New Roman" w:hAnsi="Times New Roman"/>
          <w:i/>
          <w:sz w:val="20"/>
        </w:rPr>
        <w:t xml:space="preserve">Other PFIC Rules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1291(f) of the Code, the IRS has issued proposed Treasury Regulations that, subject to certain exceptions, would cause a U.S. Holder that had not made a timely QEF Election to recognize gain (but not loss) upon certain transfers of securities that would otherwise be tax-deferred (e.g., gifts and exchanges pursuant to corporate reorganizations). However, the specific U.S. federal income tax consequences to a U.S. Holder may vary based on the manner in which the securities are transferred. </w:t>
      </w:r>
    </w:p>
    <w:p>
      <w:pPr>
        <w:pStyle w:val="TextBody"/>
        <w:bidi w:val="0"/>
        <w:spacing w:before="240" w:after="0"/>
        <w:jc w:val="left"/>
        <w:rPr>
          <w:rFonts w:ascii="Times New Roman" w:hAnsi="Times New Roman"/>
          <w:sz w:val="20"/>
        </w:rPr>
      </w:pPr>
      <w:r>
        <w:rPr>
          <w:rFonts w:ascii="Times New Roman" w:hAnsi="Times New Roman"/>
          <w:sz w:val="20"/>
        </w:rPr>
        <w:t xml:space="preserve">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Certain additional adverse rules will apply with respect to a U.S. Holder if we are a PFIC, regardless of whether such U.S. Holder makes a QEF Election. For example, under Section 1298(b)(6) of the Code, a U.S. Holder that uses the securities as security for a loan will, except as may be provided in Treasury Regulations, be treated as having made a taxable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who acquires securities from a decedent will not receive a “step up” in tax basis of such securities to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their own tax advisor regarding the availability of the foreign tax credit with respect to distributions by a PFIC. </w:t>
      </w:r>
    </w:p>
    <w:p>
      <w:pPr>
        <w:pStyle w:val="TextBody"/>
        <w:bidi w:val="0"/>
        <w:spacing w:before="360" w:after="0"/>
        <w:jc w:val="left"/>
        <w:rPr>
          <w:rFonts w:ascii="Times New Roman" w:hAnsi="Times New Roman"/>
          <w:b/>
          <w:sz w:val="20"/>
        </w:rPr>
      </w:pPr>
      <w:r>
        <w:rPr>
          <w:rFonts w:ascii="Times New Roman" w:hAnsi="Times New Roman"/>
          <w:b/>
          <w:sz w:val="20"/>
        </w:rPr>
        <w:t xml:space="preserve">The PFIC rules are complex, and each U.S. Holder should consult its own tax advisor regarding the PFIC rules (including the applicability and advisability of a QEF Election and Mark-to-Market Election) and how the PFIC rules may affect the U.S. federal income tax consequences of the acquisition, ownership, and disposition of the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Rules Applicable to U.S. Federal Income Tax Consequences of the Acquisition, Ownership, and Disposition of the Shares </w:t>
      </w:r>
    </w:p>
    <w:p>
      <w:pPr>
        <w:pStyle w:val="TextBody"/>
        <w:bidi w:val="0"/>
        <w:spacing w:before="120" w:after="0"/>
        <w:jc w:val="left"/>
        <w:rPr>
          <w:rFonts w:ascii="Times New Roman" w:hAnsi="Times New Roman"/>
          <w:sz w:val="20"/>
        </w:rPr>
      </w:pPr>
      <w:r>
        <w:rPr>
          <w:rFonts w:ascii="Times New Roman" w:hAnsi="Times New Roman"/>
          <w:sz w:val="20"/>
        </w:rPr>
        <w:t>The following discussion describes the general rules applicable to the ownership and disposition of the Shares, but is subject in its entirety to the special rules described above under the heading “</w:t>
      </w:r>
      <w:r>
        <w:rPr>
          <w:rFonts w:ascii="Times New Roman" w:hAnsi="Times New Roman"/>
          <w:i/>
          <w:sz w:val="20"/>
        </w:rPr>
        <w:t>Passive Foreign Investment Company Rules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Distributions on Shares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above, to the extent there are any distributions made with respect to the Shares, a U.S. Holder generally will be required to include in its gross income distributions received with respect to its Shares (including the amount of Canadian taxes withheld, if any) as dividend income, but only to the extent that the distribution is paid out of our current or accumulated earnings and profits (computed using U.S. federal income tax principles), with the excess treated first as a non-taxable return of capital to the extent of the holder’s adjusted tax basis in its Shares and, thereafter, as capital gain recognized on a sale or exchange on the day actually or constructively received by the holder (as described below under “</w:t>
      </w:r>
      <w:r>
        <w:rPr>
          <w:rFonts w:ascii="Times New Roman" w:hAnsi="Times New Roman"/>
          <w:i/>
          <w:sz w:val="20"/>
        </w:rPr>
        <w:t>Sale or Disposition of Shares</w:t>
      </w:r>
      <w:r>
        <w:rPr>
          <w:rFonts w:ascii="Times New Roman" w:hAnsi="Times New Roman"/>
          <w:sz w:val="20"/>
        </w:rPr>
        <w:t xml:space="preserve">”). There can be no assurance that we will maintain calculations of our earnings and profits in accordance with U.S. federal income tax accounting principles. U.S. Holders should therefore assume that any distribution with respect to the Shares will constitute ordinary dividend income. Dividends paid on the Shares will not be eligible for the dividends received deduction allowed to U.S. corporations.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dividends paid to a non corporate U.S. Holder by a “qualified foreign corporation” may be subject to reduced rates of taxation if certain holding period and other requirements are met. A qualified foreign corporation generally includes a foreign corporation if (i) its Shares are readily tradable on an established securities market in the United States or it is eligible for benefits under a comprehensive U.S. income tax treaty that includes an exchange of information program and which the U.S. Treasury has determined is satisfactory for these purposes and (ii) if such foreign corporation is not a PFIC (as discussed above) for either the taxable year in which the dividend is paid or the preceding taxable year. The Company believes that it qualifies as a resident of Canada for purposes of, and are eligible for the benefits of, the Canada-United States Income Tax Convention (1980) as amended, which the IRS has determined is satisfactory for purposes of the qualified dividend rules and that it includes an exchange of information provision, although there can be no assurance in this regard. In addition, the Shares are expected to be readily tradable on an established securities market, the TSX and Nasdaq. However, whether our Shares are regularly traded on a qualified exchange is an annual determination based on facts that, in part, are beyond our control. Accordingly, subject to the PFIC rules discussed above, we expect that a non-corporate U.S. Holder should qualify for the reduced rate on dividends so long as the applicable holding period requirements are met. U.S. Holders should consult their own tax advisors regarding the availability of the reduced tax rate on dividends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distribution paid to a U.S. Holder in foreign currency or on the sale, exchange or other taxable disposition of the Shares generally will be equal to the U.S. dollar value of such foreign currency based on the exchange rate applicable on the date of receipt (regardless of whether such foreign currency is converted into U.S. dollars at that time). If the foreign currency received is not converted into U.S. dollars on the date of receipt, a U.S. Holder will have a tax basis in the foreign currency equal to its U.S. dollar value on the date of receipt. Any U.S. Holder who receives payment in foreign currency and engages in a subsequent conversion or other disposition of the foreign currency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 regarding the U.S. federal income tax consequences of receiving, owning, and disposing of foreign currency.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a U.S. Holder that pays (whether directly or through withholding) Canadian income tax with respect to dividends paid on the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foreign taxes paid or accrued (whether directly or through withholding) by a U.S. Holder during a year. The foreign tax credit rules are complex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 the application of rules that depend on a U.S. Holder’s particular circumstances. Accordingly, each U.S. Holder should consult its own tax advisor regarding the foreign tax credit rules.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Sale or Disposition of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taxable sale or exchange of the Shares in an amount equal to the difference between the U.S. dollar amount realized on such sale or exchange (determined in the case of the Shares sold or exchanged for currencies other than U.S. dollars by reference to the spot exchange rate in effect on the date of the sale or exchange or, if the Shares sold or exchanged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and the U.S. Holder’s adjusted tax basis in the Shares determined in U.S. dollars. The initial tax basis of the Shares to a U.S. Holder will be the U.S. Holder’s U.S. dollar purchase price for the Shares (determined by reference to the spot exchange rate in effect on the date of the purchase, or if the Shares purchased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 accrual basis U.S. Holder that does not make the special election will recognize exchange gain or loss to the extent attributable to the difference between the exchange rates on the sale date and the settlement date, and such exchange gain or loss generally will constitute ordinary income or loss.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such gain or loss will be capital gain or loss and will be long term gain or loss if the Shares have been held for more than one year. Under current law, long term capital gains of non-corporate U.S. Holders generally are eligible for reduced rates of taxation. The deductibility of capital losses is subject to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laws certain categories of U.S. Holders must file information returns with respect to their investment in, or involvement in, a foreign corporation. For example, U.S. return disclosure obligations (and related penalties) are imposed on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 S. Holders may be subject to these reporting requirements unless the securities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IRS Form 8938. In addition, U.S. Holders should consult with their own tax advisors regarding the requirements of filing information returns, and, if applicable, filing obligations relating to the PFIC rules, including possible reporting on an IRS Form 8621. </w:t>
      </w:r>
    </w:p>
    <w:p>
      <w:pPr>
        <w:pStyle w:val="TextBody"/>
        <w:bidi w:val="0"/>
        <w:spacing w:before="240" w:after="0"/>
        <w:jc w:val="left"/>
        <w:rPr>
          <w:rFonts w:ascii="Times New Roman" w:hAnsi="Times New Roman"/>
          <w:sz w:val="20"/>
        </w:rPr>
      </w:pPr>
      <w:r>
        <w:rPr>
          <w:rFonts w:ascii="Times New Roman" w:hAnsi="Times New Roman"/>
          <w:sz w:val="20"/>
        </w:rPr>
        <w:t xml:space="preserve">Payments made within the U.S., or by a U.S. payor or U.S. middleman, of dividends on, and proceeds arising from the sale or other taxable disposition of the Shares generally may be subject to information reporting and backup withholding tax, currently at the rate of 24%, if a U.S. Holder (a) fails to furnish its correct U.S. taxpayer identification number (generally on Form W-9), (b) furnishes an incorrect U.S. taxpayer identification number, (c) is notified by the IRS that such U.S. Holder has previously failed to properly report items subject to backup withholding tax, or (d) fails to certify, under penalty of perjury, that it has furnished its correct U.S. taxpayer identification number and that the IRS has not notified such U.S. Holder that it is subject to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However, certain exempt persons, such as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such U.S. Holder furnishes required information to the IRS in a timely manner. The information reporting and backup withholding rules may apply even if, under the Canada-U.S. Tax Convention, payments may be exempt from the dividend withholding tax rules or otherwise eligible for a reduced withholding rate. Each U.S. Holder should consult its own tax advisor regarding the information reporting and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 </w:t>
      </w:r>
    </w:p>
    <w:p>
      <w:pPr>
        <w:pStyle w:val="TextBody"/>
        <w:bidi w:val="0"/>
        <w:spacing w:before="240" w:after="0"/>
        <w:jc w:val="left"/>
        <w:rPr>
          <w:rFonts w:ascii="Times New Roman" w:hAnsi="Times New Roman"/>
          <w:b/>
          <w:sz w:val="20"/>
        </w:rPr>
      </w:pPr>
      <w:r>
        <w:rPr>
          <w:rFonts w:ascii="Times New Roman" w:hAnsi="Times New Roman"/>
          <w:b/>
          <w:sz w:val="20"/>
        </w:rPr>
        <w:t xml:space="preserve">THE ABOVE SUMMARY IS NOT INTENDED TO CONSTITUTE A COMPLETE ANALYSIS OF ALL TAX CONSIDERATIONS APPLICABLE TO U.S. HOLDERS WITH RESPECT TO THE ACQUISITION, OWNERSHIP, AND DISPOSITION OF THE SHARES. EACH PROSPECTIVE INVESTOR IS URGED TO CONSULT ITS OWN TAX ADVISOR ABOUT THE TAX CONSEQUENCES TO IT OF AN INVESTMENT IN THE SHARES IN LIGHT OF THE INVESTOR’S OWN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supptoc343554_19"/>
      <w:bookmarkEnd w:id="2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company incorporated under the </w:t>
      </w:r>
      <w:r>
        <w:rPr>
          <w:rFonts w:ascii="Times New Roman" w:hAnsi="Times New Roman"/>
          <w:i/>
          <w:sz w:val="20"/>
        </w:rPr>
        <w:t>Business Corporations Act</w:t>
      </w:r>
      <w:r>
        <w:rPr>
          <w:rFonts w:ascii="Times New Roman" w:hAnsi="Times New Roman"/>
          <w:sz w:val="20"/>
        </w:rPr>
        <w:t xml:space="preserve"> (British Columbia). Most of our directors and officers are residents of Canada or otherwise reside outside the United States, and all or a substantial portion of their assets may be, and a substantial portion of our assets are, located outside the United States. We have appointed an agent for service of process in the United States, but it may be difficult for holders of securities who reside in the United States to effect service within the United States upon those directors, officers and experts who are not residents of the United States. It may also be difficult for holders of securities who reside in the United States to realize in the United States upon judgments of courts of the United States predicated upon our civil liability and the civil liability of our directors, officers and experts under the United States federal securities laws. We have been advised that a judgment of a U.S. court predicated solely upon civil liability under U.S. federal securities laws or the securities or “blue sky” laws of any state within the United States, would likely be enforceable in Canada if the U.S. court in which the judgment was obtained has a basis for jurisdiction in the matter that would be recognized by a Canadian court for the same purposes. We have also been advised, however, that there is substantial doubt whether an action could be brought in Canada in the first instance on the basis of the liability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filed with the SEC, concurrently with our U.S. Registration Statement of which this prospectus supplement is a part, an appointment of agent for service of process on Form F-X. Under the Form F-X, we have appointed C T Corporation System as our agent for service of process in the United States in connection with any investigation or administrative proceeding conducted by the SEC, and any civil suit or action brought against or involving us in a U.S. court arising out of or related to or concerning the resale offering of securities under this prospectus supplement and the accompanying shelf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supptoc343554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related to this prospectus supplement will be passed upon on our behalf by Blake, Cassels &amp; Graydon LLP, with respect to matters of Canadian law, and Troutman Pepper Locke LLP, with respect to matters of U.S. law. As of the date of this prospectus supplement, the partners and associates of Blake, Cassels &amp; Graydon LLP beneficially own, directly or indirectly, less than 1% of our outstanding common shares. </w:t>
      </w:r>
    </w:p>
    <w:p>
      <w:pPr>
        <w:pStyle w:val="TextBody"/>
        <w:bidi w:val="0"/>
        <w:spacing w:before="480" w:after="0"/>
        <w:jc w:val="center"/>
        <w:rPr>
          <w:rFonts w:ascii="Times New Roman" w:hAnsi="Times New Roman"/>
          <w:b/>
          <w:sz w:val="20"/>
        </w:rPr>
      </w:pPr>
      <w:bookmarkStart w:id="23" w:name="supptoc343554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There is no person or company whose profession or business gives authority to a report, valuation, statement or opinion made by such person or company and who is named as having prepared or certified a report, valuation, statement or opinion in this prospectus supplement other than KPMG LLP. </w:t>
      </w:r>
    </w:p>
    <w:p>
      <w:pPr>
        <w:pStyle w:val="TextBody"/>
        <w:bidi w:val="0"/>
        <w:spacing w:before="480" w:after="0"/>
        <w:jc w:val="center"/>
        <w:rPr>
          <w:rFonts w:ascii="Times New Roman" w:hAnsi="Times New Roman"/>
          <w:b/>
          <w:sz w:val="20"/>
        </w:rPr>
      </w:pPr>
      <w:bookmarkStart w:id="24" w:name="supptoc343554_22"/>
      <w:bookmarkEnd w:id="24"/>
      <w:r>
        <w:rPr>
          <w:rFonts w:ascii="Times New Roman" w:hAnsi="Times New Roman"/>
          <w:b/>
          <w:sz w:val="20"/>
        </w:rPr>
        <w:t xml:space="preserve">AUDITORS, 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auditors are KPMG LLP. KPMG LLP has confirmed with respect to the Company that they are independent within the meaning of the relevant rules and related interpretations prescribed by the relevant professional bodies in Canada and any applicable legislation or regulations, and also that they are independent accountants with respect to the Company under all relevant U.S. professional and regulatory standards. </w:t>
      </w:r>
    </w:p>
    <w:p>
      <w:pPr>
        <w:pStyle w:val="TextBody"/>
        <w:bidi w:val="0"/>
        <w:spacing w:before="240" w:after="0"/>
        <w:jc w:val="left"/>
        <w:rPr>
          <w:rFonts w:ascii="Times New Roman" w:hAnsi="Times New Roman"/>
          <w:sz w:val="20"/>
        </w:rPr>
      </w:pPr>
      <w:r>
        <w:rPr>
          <w:rFonts w:ascii="Times New Roman" w:hAnsi="Times New Roman"/>
          <w:sz w:val="20"/>
        </w:rPr>
        <w:t xml:space="preserve">Our transfer agent and registrar for our common shares in Canada is TSX Trust Company at its principal office in Vancouver, British Columbia and in the United States is Continental Stock Transfer and Trust Company at its principal office in New York, New York. </w:t>
      </w:r>
    </w:p>
    <w:p>
      <w:pPr>
        <w:pStyle w:val="TextBody"/>
        <w:bidi w:val="0"/>
        <w:spacing w:before="480" w:after="0"/>
        <w:jc w:val="center"/>
        <w:rPr>
          <w:rFonts w:ascii="Times New Roman" w:hAnsi="Times New Roman"/>
          <w:b/>
          <w:sz w:val="20"/>
        </w:rPr>
      </w:pPr>
      <w:bookmarkStart w:id="25" w:name="supptoc343554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U.S. Registration Statement relating to the offer and sale of our securities, of which this prospectus supplement and the shelf prospectus form a part. This prospectus supplement and the shelf prospectus, which form a part of the U.S. Registration Statement, do not contain all of the information set forth in the U.S. Registration Statement, certain parts of which are omitted in accordance with the rules and regulations of the SEC. Information omitted from this prospectus supplement or the shelf prospectus but contained in the U.S. Registration Statement is available on EDGAR under the Company’s profile at www.sec.gov. Reference is made to the U.S. Registration Statement and the exhibits thereto for further information with respect to the Company and the Shares. Statements contained in this prospectus supplement as to the contents of certain documents are not necessarily complete and, in each instance, reference is made to the copy of the document filed as an exhibit to the U.S. Registration Statement. Each such statement is qualified in its entirety by such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with the securities commission or authority in each of the applicable provinces and territories of Canada annual and quarterly reports, material change reports and other information. In addition, we are subject to the informational requirements of the U.S. Exchange Act, and, in accordance with the U.S. Exchange Act, we also file reports with, and furnish other information to, the SEC. Under a MJDS adopted by the United States and Canada, these reports and other information (including financial information) may be prepared in accordance with the disclosure requirements of Canada, which differ in certain respects from those in the United States. As a foreign private issuer, we are exempt from the rules under the U.S. Exchange Act prescribing the furnishing and content of proxy statements, and our officers, directors and principal shareholders are exempt from the reporting and short-swing profit recovery provisions contained in Section 16 of the U.S. Exchange Act. In addition, we are not required to publish financial statements as promptly as U.S.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You may read any document we file with or furnish to the securities commissions and authorities of the provinces and territories of Canada through SEDAR+ and any document we file with, or furnish to, the SEC on EDGAR, and may be accessed at www.sec.gov. Please note that the SEC’s website and the website containing Canadian securities regulatory filings are included in this prospectus supplement and the accompanying shelf prospectus as inactive textual references only. The information contained on such websites is not incorporated by reference in this prospectus supplement and any applicable prospectus supplement and should not be considered part of this prospectus supplement or any applicable prospectus supplement, except as explicitly described in the section titled “</w:t>
      </w:r>
      <w:r>
        <w:rPr>
          <w:rFonts w:ascii="Times New Roman" w:hAnsi="Times New Roman"/>
          <w:i/>
          <w:sz w:val="20"/>
        </w:rPr>
        <w:t>Documents Incorporated</w:t>
      </w:r>
      <w:r>
        <w:rPr>
          <w:rFonts w:ascii="Times New Roman" w:hAnsi="Times New Roman"/>
          <w:sz w:val="20"/>
        </w:rPr>
        <w:t xml:space="preserve"> </w:t>
      </w:r>
      <w:r>
        <w:rPr>
          <w:rFonts w:ascii="Times New Roman" w:hAnsi="Times New Roman"/>
          <w:i/>
          <w:sz w:val="20"/>
        </w:rPr>
        <w:t>by Reference</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6" w:name="supptoc343554_24"/>
      <w:bookmarkEnd w:id="26"/>
      <w:r>
        <w:rPr>
          <w:rFonts w:ascii="Times New Roman" w:hAnsi="Times New Roman"/>
          <w:b/>
          <w:sz w:val="20"/>
        </w:rPr>
        <w:t xml:space="preserve">ENFORCEMENT OF JUDGMENTS AGAINST FOREIGN PERSONS </w:t>
      </w:r>
    </w:p>
    <w:p>
      <w:pPr>
        <w:pStyle w:val="TextBody"/>
        <w:bidi w:val="0"/>
        <w:spacing w:before="240" w:after="0"/>
        <w:jc w:val="left"/>
        <w:rPr>
          <w:rFonts w:ascii="Times New Roman" w:hAnsi="Times New Roman"/>
          <w:sz w:val="20"/>
        </w:rPr>
      </w:pPr>
      <w:r>
        <w:rPr>
          <w:rFonts w:ascii="Times New Roman" w:hAnsi="Times New Roman"/>
          <w:sz w:val="20"/>
        </w:rPr>
        <w:t xml:space="preserve">Certain directors of the Company reside outside of Canada. As a result of the persons named below residing outside of Canada, each of them has appointed agent for service of process in Canada, as set out in the table below. The Selling Shareholders reside outside of Canada or are incorporated, continued, or otherwise organized under the laws of a foreign jurisdiction and has also appointed an agent for service of process in Canada, as further described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Person or Company</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and Address of Agent</w:t>
            </w:r>
          </w:p>
        </w:tc>
      </w:tr>
      <w:tr>
        <w:trPr/>
        <w:tc>
          <w:tcPr>
            <w:tcW w:w="5205" w:type="dxa"/>
            <w:tcBorders/>
          </w:tcPr>
          <w:p>
            <w:pPr>
              <w:pStyle w:val="TableContents"/>
              <w:bidi w:val="0"/>
              <w:spacing w:before="0" w:after="283"/>
              <w:jc w:val="left"/>
              <w:rPr/>
            </w:pPr>
            <w:r>
              <w:rPr/>
              <w:t>Amy Pott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Robert Bazemore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Helen Thackray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Selling Shareholders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Caravel Law LLP, c/o Sean Holler Professional Corporation, located at Suite 181, 1122 3 Street SE, Ste 1906, Calgary, Alberta T2G 0E7.</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contained herein is subject to completion or amendment. A registration statement relating to these securities has been filed with the U.S. Securities and Exchange Commission. These securities may not be sold nor may offers to buy be accepted prior to the time the registration statement becomes effective. This short form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has been incorporated by reference in this short form base shelf prospectus from documents filed with the securities commissions or similar authorities in each of the provinces and territories of Canada. Copies of the documents incorporated herein by reference may be obtained on request without charge from the secretary of the Company at 2198 Yukon Street, Vancouver, BC, V5Y 3P1 (Telephone (250) 590-3968) and are also available electronically at www.sedarplus.ca and www.sec.gov. </w:t>
      </w:r>
    </w:p>
    <w:p>
      <w:pPr>
        <w:pStyle w:val="TextBody"/>
        <w:bidi w:val="0"/>
        <w:spacing w:before="240" w:after="0"/>
        <w:jc w:val="center"/>
        <w:rPr>
          <w:rFonts w:ascii="Times New Roman" w:hAnsi="Times New Roman"/>
          <w:b/>
          <w:sz w:val="20"/>
        </w:rPr>
      </w:pPr>
      <w:r>
        <w:rPr>
          <w:rFonts w:ascii="Times New Roman" w:hAnsi="Times New Roman"/>
          <w:b/>
          <w:sz w:val="20"/>
        </w:rPr>
        <w:t xml:space="preserve">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u w:val="single"/>
              </w:rPr>
            </w:pPr>
            <w:r>
              <w:rPr>
                <w:b/>
                <w:u w:val="single"/>
              </w:rPr>
              <w:t>New Issue and/or Secondary Offering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August 18, 2026</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072130" cy="8496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072130" cy="8496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US$300,000,000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Shares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Shares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Receipts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240" w:after="0"/>
        <w:jc w:val="left"/>
        <w:rPr>
          <w:rFonts w:ascii="Times New Roman" w:hAnsi="Times New Roman"/>
          <w:sz w:val="20"/>
        </w:rPr>
      </w:pPr>
      <w:r>
        <w:rPr>
          <w:rFonts w:ascii="Times New Roman" w:hAnsi="Times New Roman"/>
          <w:sz w:val="20"/>
        </w:rPr>
        <w:t>This short form base shelf prospectus relates to the offering for sale from time to time, during the 25-month period that this prospectus, including any amendments hereto, remains effective, of the common shares (the “</w:t>
      </w:r>
      <w:r>
        <w:rPr>
          <w:rFonts w:ascii="Times New Roman" w:hAnsi="Times New Roman"/>
          <w:b/>
          <w:sz w:val="20"/>
        </w:rPr>
        <w:t>Common Shares</w:t>
      </w:r>
      <w:r>
        <w:rPr>
          <w:rFonts w:ascii="Times New Roman" w:hAnsi="Times New Roman"/>
          <w:sz w:val="20"/>
        </w:rPr>
        <w:t>”), the preferred shares, the debt securities, the warrants, the subscription receipts and the units (the foregoing collectively, the “</w:t>
      </w:r>
      <w:r>
        <w:rPr>
          <w:rFonts w:ascii="Times New Roman" w:hAnsi="Times New Roman"/>
          <w:b/>
          <w:sz w:val="20"/>
        </w:rPr>
        <w:t>Securities</w:t>
      </w:r>
      <w:r>
        <w:rPr>
          <w:rFonts w:ascii="Times New Roman" w:hAnsi="Times New Roman"/>
          <w:sz w:val="20"/>
        </w:rPr>
        <w:t>” and individually, a “</w:t>
      </w:r>
      <w:r>
        <w:rPr>
          <w:rFonts w:ascii="Times New Roman" w:hAnsi="Times New Roman"/>
          <w:b/>
          <w:sz w:val="20"/>
        </w:rPr>
        <w:t>Security</w:t>
      </w:r>
      <w:r>
        <w:rPr>
          <w:rFonts w:ascii="Times New Roman" w:hAnsi="Times New Roman"/>
          <w:sz w:val="20"/>
        </w:rPr>
        <w:t>”), of Eupraxia Pharmaceuticals Inc. (the “</w:t>
      </w:r>
      <w:r>
        <w:rPr>
          <w:rFonts w:ascii="Times New Roman" w:hAnsi="Times New Roman"/>
          <w:b/>
          <w:sz w:val="20"/>
        </w:rPr>
        <w:t>Company</w:t>
      </w:r>
      <w:r>
        <w:rPr>
          <w:rFonts w:ascii="Times New Roman" w:hAnsi="Times New Roman"/>
          <w:sz w:val="20"/>
        </w:rPr>
        <w:t>”, “</w:t>
      </w:r>
      <w:r>
        <w:rPr>
          <w:rFonts w:ascii="Times New Roman" w:hAnsi="Times New Roman"/>
          <w:b/>
          <w:sz w:val="20"/>
        </w:rPr>
        <w:t>Eupraxia</w:t>
      </w:r>
      <w:r>
        <w:rPr>
          <w:rFonts w:ascii="Times New Roman" w:hAnsi="Times New Roman"/>
          <w:sz w:val="20"/>
        </w:rPr>
        <w:t>”, “</w:t>
      </w:r>
      <w:r>
        <w:rPr>
          <w:rFonts w:ascii="Times New Roman" w:hAnsi="Times New Roman"/>
          <w:b/>
          <w:sz w:val="20"/>
        </w:rPr>
        <w:t>we</w:t>
      </w:r>
      <w:r>
        <w:rPr>
          <w:rFonts w:ascii="Times New Roman" w:hAnsi="Times New Roman"/>
          <w:sz w:val="20"/>
        </w:rPr>
        <w:t>” or “</w:t>
      </w:r>
      <w:r>
        <w:rPr>
          <w:rFonts w:ascii="Times New Roman" w:hAnsi="Times New Roman"/>
          <w:b/>
          <w:sz w:val="20"/>
        </w:rPr>
        <w:t>our</w:t>
      </w:r>
      <w:r>
        <w:rPr>
          <w:rFonts w:ascii="Times New Roman" w:hAnsi="Times New Roman"/>
          <w:sz w:val="20"/>
        </w:rPr>
        <w:t xml:space="preserve">”) in one or more series or issuances, with a total offering price of such Securities, in the aggregate, of up to US$300,000,000 (or the equivalent thereof, at the date of issue, in U.S. dollars or one or more foreign currencies or composite currencies, as the case may be). The Securities may be offered by us or by our securityholders. The Securities may be offered separately or together, in amounts, at prices and on terms to be determined based on market conditions at the time of the sale and set forth in an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 </w:t>
      </w:r>
    </w:p>
    <w:p>
      <w:pPr>
        <w:pStyle w:val="TextBody"/>
        <w:bidi w:val="0"/>
        <w:spacing w:before="240" w:after="0"/>
        <w:jc w:val="left"/>
        <w:rPr>
          <w:rFonts w:ascii="Times New Roman" w:hAnsi="Times New Roman"/>
          <w:sz w:val="20"/>
        </w:rPr>
      </w:pPr>
      <w:r>
        <w:rPr>
          <w:rFonts w:ascii="Times New Roman" w:hAnsi="Times New Roman"/>
          <w:sz w:val="20"/>
        </w:rPr>
        <w:t>The Common Shares are listed for trading and posted on the Toronto Stock Exchange (the “</w:t>
      </w:r>
      <w:r>
        <w:rPr>
          <w:rFonts w:ascii="Times New Roman" w:hAnsi="Times New Roman"/>
          <w:b/>
          <w:sz w:val="20"/>
        </w:rPr>
        <w:t>TSX</w:t>
      </w:r>
      <w:r>
        <w:rPr>
          <w:rFonts w:ascii="Times New Roman" w:hAnsi="Times New Roman"/>
          <w:sz w:val="20"/>
        </w:rPr>
        <w:t>”) and the Nasdaq Capital Market (“</w:t>
      </w:r>
      <w:r>
        <w:rPr>
          <w:rFonts w:ascii="Times New Roman" w:hAnsi="Times New Roman"/>
          <w:b/>
          <w:sz w:val="20"/>
        </w:rPr>
        <w:t>Nasdaq</w:t>
      </w:r>
      <w:r>
        <w:rPr>
          <w:rFonts w:ascii="Times New Roman" w:hAnsi="Times New Roman"/>
          <w:sz w:val="20"/>
        </w:rPr>
        <w:t xml:space="preserve">”), under the trading symbol “EPRX”. On August 17, 2026, being the last complete trading day prior to the date hereof, the closing price of the Common Shares on the TSX was C$9.50 and the closing price of the Common Shares on Nasdaq was US$6.82. </w:t>
      </w:r>
      <w:r>
        <w:rPr>
          <w:rFonts w:ascii="Times New Roman" w:hAnsi="Times New Roman"/>
          <w:b/>
          <w:sz w:val="20"/>
        </w:rPr>
        <w:t>Unless otherwise specified in the applicable prospectus supplement, Securities other than Common Shares will not be listed on any securities exchange or on any automated dealer quotation</w:t>
      </w:r>
      <w:r>
        <w:rPr>
          <w:rFonts w:ascii="Times New Roman" w:hAnsi="Times New Roman"/>
          <w:sz w:val="20"/>
        </w:rPr>
        <w:t xml:space="preserve"> </w:t>
      </w:r>
      <w:r>
        <w:rPr>
          <w:rFonts w:ascii="Times New Roman" w:hAnsi="Times New Roman"/>
          <w:b/>
          <w:sz w:val="20"/>
        </w:rPr>
        <w:t>system. There is currently no market through which our Securities, other than our Common Shares, may be sold and purchasers may not be able to resell such 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b/>
          <w:sz w:val="20"/>
        </w:rPr>
        <w:t>purchased under</w:t>
      </w:r>
      <w:r>
        <w:rPr>
          <w:rFonts w:ascii="Times New Roman" w:hAnsi="Times New Roman"/>
          <w:sz w:val="20"/>
        </w:rPr>
        <w:t xml:space="preserve"> </w:t>
      </w:r>
      <w:r>
        <w:rPr>
          <w:rFonts w:ascii="Times New Roman" w:hAnsi="Times New Roman"/>
          <w:b/>
          <w:sz w:val="20"/>
        </w:rPr>
        <w:t>this</w:t>
      </w:r>
      <w:r>
        <w:rPr>
          <w:rFonts w:ascii="Times New Roman" w:hAnsi="Times New Roman"/>
          <w:sz w:val="20"/>
        </w:rPr>
        <w:t xml:space="preserve"> </w:t>
      </w:r>
      <w:r>
        <w:rPr>
          <w:rFonts w:ascii="Times New Roman" w:hAnsi="Times New Roman"/>
          <w:b/>
          <w:sz w:val="20"/>
        </w:rPr>
        <w:t>prospectus. This may affect the pricing of our Securities, other than our Common Shares, in the secondary</w:t>
      </w:r>
      <w:r>
        <w:rPr>
          <w:rFonts w:ascii="Times New Roman" w:hAnsi="Times New Roman"/>
          <w:sz w:val="20"/>
        </w:rPr>
        <w:t xml:space="preserve"> </w:t>
      </w:r>
      <w:r>
        <w:rPr>
          <w:rFonts w:ascii="Times New Roman" w:hAnsi="Times New Roman"/>
          <w:b/>
          <w:sz w:val="20"/>
        </w:rPr>
        <w:t>market, the transparency and availability of trading prices, the liquidity of our Securities and the extent of issuer regulation. See “</w:t>
      </w:r>
      <w:hyperlink w:anchor="toc142683_5">
        <w:r>
          <w:rPr>
            <w:rStyle w:val="InternetLink"/>
            <w:rFonts w:ascii="Times New Roman" w:hAnsi="Times New Roman"/>
            <w:b/>
            <w:i/>
            <w:sz w:val="20"/>
          </w:rPr>
          <w:t>Risk Factors</w:t>
        </w:r>
      </w:hyperlink>
      <w:r>
        <w:rPr>
          <w:rFonts w:ascii="Times New Roman" w:hAnsi="Times New Roman"/>
          <w:b/>
          <w:i/>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offering is made by a Canadian issuer that is permitted, under a multijurisdictional disclosure system (“MJDS”) adopted by the securities regulatory authorities in Canada and the United States, to prepare this prospectus in accordance with disclosure requirements of Canada. Prospective investors in the United States should be aware that such requirements are different from those of the United States. </w:t>
      </w:r>
    </w:p>
    <w:p>
      <w:pPr>
        <w:pStyle w:val="TextBody"/>
        <w:bidi w:val="0"/>
        <w:spacing w:before="240" w:after="0"/>
        <w:jc w:val="left"/>
        <w:rPr>
          <w:rFonts w:ascii="Times New Roman" w:hAnsi="Times New Roman"/>
          <w:sz w:val="20"/>
        </w:rPr>
      </w:pPr>
      <w:r>
        <w:rPr>
          <w:rFonts w:ascii="Times New Roman" w:hAnsi="Times New Roman"/>
          <w:b/>
          <w:sz w:val="20"/>
        </w:rPr>
        <w:t>Prospective investors should be aware that the acquisition, holding or disposition of the securities described herein may have tax consequences both in the United States and in Canada. This prospectus or any applicable prospectus supplement may not describe these tax consequences fully. You should read the tax discussion in any applicable prospectus supplement with respect to any particular offering and consult your own tax advisor with respect to your own particular circumstances. See “</w:t>
      </w:r>
      <w:r>
        <w:rPr>
          <w:rFonts w:ascii="Times New Roman" w:hAnsi="Times New Roman"/>
          <w:b/>
          <w:i/>
          <w:sz w:val="20"/>
        </w:rPr>
        <w:t>Certain Canadian Income Tax Considerations</w:t>
      </w:r>
      <w:r>
        <w:rPr>
          <w:rFonts w:ascii="Times New Roman" w:hAnsi="Times New Roman"/>
          <w:sz w:val="20"/>
        </w:rPr>
        <w:t xml:space="preserve">” </w:t>
      </w:r>
      <w:r>
        <w:rPr>
          <w:rFonts w:ascii="Times New Roman" w:hAnsi="Times New Roman"/>
          <w:b/>
          <w:sz w:val="20"/>
        </w:rPr>
        <w:t>and “</w:t>
      </w:r>
      <w:r>
        <w:rPr>
          <w:rFonts w:ascii="Times New Roman" w:hAnsi="Times New Roman"/>
          <w:b/>
          <w:i/>
          <w:sz w:val="20"/>
        </w:rPr>
        <w:t>Certain Material United States Federal Income Tax Considerations for U.S. Holders</w:t>
      </w:r>
      <w:r>
        <w:rPr>
          <w:rFonts w:ascii="Times New Roman" w:hAnsi="Times New Roman"/>
          <w:sz w:val="20"/>
        </w:rPr>
        <w:t xml:space="preserve">” </w:t>
      </w:r>
      <w:r>
        <w:rPr>
          <w:rFonts w:ascii="Times New Roman" w:hAnsi="Times New Roman"/>
          <w:b/>
          <w:sz w:val="20"/>
        </w:rPr>
        <w:t xml:space="preserve">in this prospectus. </w:t>
      </w:r>
    </w:p>
    <w:p>
      <w:pPr>
        <w:pStyle w:val="TextBody"/>
        <w:bidi w:val="0"/>
        <w:spacing w:before="240" w:after="0"/>
        <w:jc w:val="left"/>
        <w:rPr>
          <w:rFonts w:ascii="Times New Roman" w:hAnsi="Times New Roman"/>
          <w:sz w:val="20"/>
        </w:rPr>
      </w:pPr>
      <w:r>
        <w:rPr>
          <w:rFonts w:ascii="Times New Roman" w:hAnsi="Times New Roman"/>
          <w:b/>
          <w:sz w:val="20"/>
        </w:rPr>
        <w:t>The enforcement by investors of civil liabilities under the United States federal securities laws may be affected adversely by the facts that (i) the Company is incorporated or organized under the laws of British Columbia, Canada, (ii) the majority of its officers and directors are residents of a country other than the United States, (iii) some or all of the experts named in this prospectus may be residents of a country other than the United States and (iv) all or a substantial portion of the assets of the Company and the assets of the foregoing persons may be located outside the United States. See “</w:t>
      </w:r>
      <w:r>
        <w:rPr>
          <w:rFonts w:ascii="Times New Roman" w:hAnsi="Times New Roman"/>
          <w:b/>
          <w:i/>
          <w:sz w:val="20"/>
        </w:rPr>
        <w:t>Enforceability of Civil Liabilities</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HAVE NOT BEEN APPROVED OR DISAPPROVED BY THE U.S. SECURITIES AND EXCHANGE COMMISSION OR ANY STATE SECURITIES COMMISSION OR ANY CANADIAN SECURITIES REGULATOR NOR HAVE THESE AUTHORITIES PASSED UPON THE ACCURACY OR ADEQUACY OF THIS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be delivered to purchasers together with this prospectus, except that delivery is not required where an exemption from the delivery requirements in the legislation is available.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pursuant to this prospectus through underwriters or dealers or directly or through agents designated from time to time at amounts and prices and other terms determined by us, including by way of an “at-the-market distribution” as defined in National Instrument 44-102 – </w:t>
      </w:r>
      <w:r>
        <w:rPr>
          <w:rFonts w:ascii="Times New Roman" w:hAnsi="Times New Roman"/>
          <w:i/>
          <w:sz w:val="20"/>
        </w:rPr>
        <w:t>Shelf Distributions</w:t>
      </w:r>
      <w:r>
        <w:rPr>
          <w:rFonts w:ascii="Times New Roman" w:hAnsi="Times New Roman"/>
          <w:sz w:val="20"/>
        </w:rPr>
        <w:t xml:space="preserve"> (an “</w:t>
      </w:r>
      <w:r>
        <w:rPr>
          <w:rFonts w:ascii="Times New Roman" w:hAnsi="Times New Roman"/>
          <w:b/>
          <w:sz w:val="20"/>
        </w:rPr>
        <w:t>ATM Distribution</w:t>
      </w:r>
      <w:r>
        <w:rPr>
          <w:rFonts w:ascii="Times New Roman" w:hAnsi="Times New Roman"/>
          <w:sz w:val="20"/>
        </w:rPr>
        <w:t>”). In connection with any underwritten offering of Securities, other than an ATM Distribution, unless otherwise specified in the relevant prospectus supplement the underwriters may over-allot or effect transactions which stabilize or maintain the market price of the Securities offered. Such transactions, if commenced, may be discontinued at any time. A purchaser who acquires Securities forming part of the underwriters’ over-allocation position acquires those Securities under this prospectus, regardless of whether the over-allocation position is ultimately filled through the exercise of the over- allotment option or secondary market purchases.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underwriter or dealer involved in an ATM Distribution under this prospectus, no affiliate of such an underwriter or dealer and no person or company acting jointly or in concert with such underwriter or dealer will over-allot Securities in connection with such distribution or effect any other transactions that are intended to stabilize or maintain the market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 may offer and sell the Securities issued under this prospectus to or through underwriters, dealers, placement agents or other intermediaries or directly to one or more purchasers, subject in each case to obtaining any required exemptions under applicable securities laws. The distribution of Securities under this prospectus may be effected from time to time in one or more transactions at a fixed price or prices, which may be changed from time to time, at market prices prevailing at the time of sale, or at prices related to such prevailing market prices, or at other negotiated prices, in each case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The prospectus supplement relating to a particular offering of Securities will identify each selling securityholder, underwriter, dealer or agent engaged in connection with an offering and sale of Securities pursuant to this prospectus and will set forth the terms of the offering of such Securities, including our proceeds and, to the extent applicable, any fees, discounts, concessions or other compensation payable to the underwriters, dealers or agents, the method of distribution, the initial issue price (in the event that the offering is a fixed price distribution) and any other material terms of the plan of distribution. This prospectus may qualify an ATM Distribution.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pPr>
      <w:r>
        <w:rPr>
          <w:rFonts w:ascii="Times New Roman" w:hAnsi="Times New Roman"/>
          <w:b/>
          <w:sz w:val="20"/>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w:t>
      </w:r>
      <w:r>
        <w:rPr>
          <w:rFonts w:ascii="Times New Roman" w:hAnsi="Times New Roman"/>
          <w:b/>
          <w:i/>
          <w:sz w:val="20"/>
        </w:rPr>
        <w:t>Cautionary Note Regarding Forward-Looking Statements</w:t>
      </w:r>
      <w:r>
        <w:rPr>
          <w:rFonts w:ascii="Times New Roman" w:hAnsi="Times New Roman"/>
          <w:sz w:val="20"/>
        </w:rPr>
        <w:t xml:space="preserve">” </w:t>
      </w:r>
      <w:r>
        <w:rPr>
          <w:rFonts w:ascii="Times New Roman" w:hAnsi="Times New Roman"/>
          <w:b/>
          <w:sz w:val="20"/>
        </w:rPr>
        <w:t>and consider such risks and information in connection with an investment in the Securities. See “</w:t>
      </w:r>
      <w:hyperlink w:anchor="toc142683_5">
        <w:r>
          <w:rPr>
            <w:rStyle w:val="InternetLink"/>
            <w:rFonts w:ascii="Times New Roman" w:hAnsi="Times New Roman"/>
            <w:b/>
            <w:i/>
            <w:sz w:val="20"/>
          </w:rPr>
          <w:t>Risk Factors</w:t>
        </w:r>
      </w:hyperlink>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preferred shares, the number of preferred shares offered, the offering price, the designation of, the provisions attaching to, and any other specific terms; (iii)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(iv) in the case of subscription receipts, the number of subscription receipts being offered, the offering price, the procedures for the exchange of the subscription receipts for Common Shares, debt securities or warrants, as the case may be, and any other specific terms; (v)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and (vi) in the case of units, the designation, number and terms of the Common Shares, warrants, subscription receipts or debt securities comprising the units. Where required by statute, regulation or policy, and where Securities are offered in currencies other than Canadian dollars, appropriate disclosure of foreign exchange rates applicable to the Securities will be included in the prospectus supplement describing the Securities. </w:t>
      </w:r>
    </w:p>
    <w:p>
      <w:pPr>
        <w:pStyle w:val="TextBody"/>
        <w:bidi w:val="0"/>
        <w:spacing w:before="240" w:after="0"/>
        <w:jc w:val="left"/>
        <w:rPr>
          <w:rFonts w:ascii="Times New Roman" w:hAnsi="Times New Roman"/>
          <w:sz w:val="20"/>
        </w:rPr>
      </w:pPr>
      <w:r>
        <w:rPr>
          <w:rFonts w:ascii="Times New Roman" w:hAnsi="Times New Roman"/>
          <w:sz w:val="20"/>
        </w:rPr>
        <w:t>Amy Pott, Robert Bazemore and Helen Thackray, directors of the Company, who reside outside of Canada, have appointed Blakes Vancouver Services Inc., c/o Blake, Cassels &amp; Graydon LLP located at Suite 3500, The Stack, 1133 Melville Street, Vancouver, British Columbia, V6E 4E5, Canada for service of process in Canada. See “</w:t>
      </w:r>
      <w:r>
        <w:rPr>
          <w:rFonts w:ascii="Times New Roman" w:hAnsi="Times New Roman"/>
          <w:i/>
          <w:sz w:val="20"/>
        </w:rPr>
        <w:t>Agent for Service of Process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legislation in certain provinces and territories provides purchasers with the right to withdraw from an agreement to purchase securities. See “</w:t>
      </w:r>
      <w:r>
        <w:rPr>
          <w:rFonts w:ascii="Times New Roman" w:hAnsi="Times New Roman"/>
          <w:i/>
          <w:sz w:val="20"/>
        </w:rPr>
        <w:t>Statutory Rights of Withdrawal and Rescission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has been involved in the preparation of this prospectus nor has any underwriter performed any review of the contents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head office is located at 2198 Yukon Street, Vancouver, BC, V5Y 3P1, Canada.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rely only on the information contained in or incorporated by reference into this prospectus and any applicable prospectus supplement. We have not authorized anyone to provide investors with different information. Information contained on our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
      <w:bookmarkEnd w:id="2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2"/>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4268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
              <w:r>
                <w:rPr>
                  <w:rStyle w:val="InternetLink"/>
                  <w:rFonts w:ascii="Times New Roman" w:hAnsi="Times New Roman"/>
                  <w:sz w:val="20"/>
                </w:rPr>
                <w:t>DOCUMENTS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a">
              <w:r>
                <w:rPr>
                  <w:rStyle w:val="InternetLink"/>
                  <w:rFonts w:ascii="Times New Roman" w:hAnsi="Times New Roman"/>
                  <w:sz w:val="20"/>
                </w:rPr>
                <w:t xml:space="preserve">DOCUMENTS FILED AS PART OF THE REGISTRATION STATEMENT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b">
              <w:r>
                <w:rPr>
                  <w:rStyle w:val="InternetLink"/>
                  <w:rFonts w:ascii="Times New Roman" w:hAnsi="Times New Roman"/>
                  <w:sz w:val="20"/>
                </w:rPr>
                <w:t xml:space="preserve">CURRENCY PRESENTATION AND EXCHANGE RATE INFORMATION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c">
              <w:r>
                <w:rPr>
                  <w:rStyle w:val="InternetLink"/>
                  <w:rFonts w:ascii="Times New Roman" w:hAnsi="Times New Roman"/>
                  <w:sz w:val="20"/>
                </w:rPr>
                <w:t xml:space="preserve">TRADEMARKS AND TRADE NAMES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4">
              <w:r>
                <w:rPr>
                  <w:rStyle w:val="InternetLink"/>
                  <w:rFonts w:ascii="Times New Roman" w:hAnsi="Times New Roman"/>
                  <w:sz w:val="20"/>
                </w:rPr>
                <w:t>EUPRAXIA PHARMACEUTICALS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7">
              <w:r>
                <w:rPr>
                  <w:rStyle w:val="InternetLink"/>
                  <w:rFonts w:ascii="Times New Roman" w:hAnsi="Times New Roman"/>
                  <w:sz w:val="20"/>
                </w:rPr>
                <w:t>CONSOLIDATED CAPITALIZATION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8">
              <w:r>
                <w:rPr>
                  <w:rStyle w:val="InternetLink"/>
                  <w:rFonts w:ascii="Times New Roman" w:hAnsi="Times New Roman"/>
                  <w:sz w:val="20"/>
                </w:rPr>
                <w:t>PRIOR SALES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9">
              <w:r>
                <w:rPr>
                  <w:rStyle w:val="InternetLink"/>
                  <w:rFonts w:ascii="Times New Roman" w:hAnsi="Times New Roman"/>
                  <w:sz w:val="20"/>
                </w:rPr>
                <w:t>TRADING PRICE AND VOLUME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0">
              <w:r>
                <w:rPr>
                  <w:rStyle w:val="InternetLink"/>
                  <w:rFonts w:ascii="Times New Roman" w:hAnsi="Times New Roman"/>
                  <w:sz w:val="20"/>
                </w:rPr>
                <w:t>EARNINGS COVERAGE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1">
              <w:r>
                <w:rPr>
                  <w:rStyle w:val="InternetLink"/>
                  <w:rFonts w:ascii="Times New Roman" w:hAnsi="Times New Roman"/>
                  <w:sz w:val="20"/>
                </w:rPr>
                <w:t>DESCRIPTION OF SHARE CAPITAL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2">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3">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4">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5">
              <w:r>
                <w:rPr>
                  <w:rStyle w:val="InternetLink"/>
                  <w:rFonts w:ascii="Times New Roman" w:hAnsi="Times New Roman"/>
                  <w:sz w:val="20"/>
                </w:rPr>
                <w:t>DESCRIPTION OF SUBSCRIPTION RECEIPTS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6">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7">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8">
              <w:r>
                <w:rPr>
                  <w:rStyle w:val="InternetLink"/>
                  <w:rFonts w:ascii="Times New Roman" w:hAnsi="Times New Roman"/>
                  <w:sz w:val="20"/>
                </w:rPr>
                <w:t>CERTAIN CANADIAN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9">
              <w:r>
                <w:rPr>
                  <w:rStyle w:val="InternetLink"/>
                  <w:rFonts w:ascii="Times New Roman" w:hAnsi="Times New Roman"/>
                  <w:sz w:val="20"/>
                </w:rPr>
                <w:t>CERTAIN MATERIAL UNITED STATES FEDERAL INCOME TAX CONSIDERATIONS FOR 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1">
              <w:r>
                <w:rPr>
                  <w:rStyle w:val="InternetLink"/>
                  <w:rFonts w:ascii="Times New Roman" w:hAnsi="Times New Roman"/>
                  <w:sz w:val="20"/>
                </w:rPr>
                <w:t>INTEREST OF EXPERT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2">
              <w:r>
                <w:rPr>
                  <w:rStyle w:val="InternetLink"/>
                  <w:rFonts w:ascii="Times New Roman" w:hAnsi="Times New Roman"/>
                  <w:sz w:val="20"/>
                </w:rPr>
                <w:t>AUDITORS, TRANSFER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a">
              <w:r>
                <w:rPr>
                  <w:rStyle w:val="InternetLink"/>
                  <w:rFonts w:ascii="Times New Roman" w:hAnsi="Times New Roman"/>
                  <w:sz w:val="20"/>
                </w:rPr>
                <w:t>AGENT FOR SERVICE OF PROCESS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4">
              <w:r>
                <w:rPr>
                  <w:rStyle w:val="InternetLink"/>
                  <w:rFonts w:ascii="Times New Roman" w:hAnsi="Times New Roman"/>
                  <w:sz w:val="20"/>
                </w:rPr>
                <w:t>ENFORCEABILITY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42683_1"/>
      <w:bookmarkEnd w:id="2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our Securities pursuant thereto.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F-10 relating to the Securities that the Company has filed with the U.S. Securities and Exchange Commission (the “</w:t>
      </w:r>
      <w:r>
        <w:rPr>
          <w:rFonts w:ascii="Times New Roman" w:hAnsi="Times New Roman"/>
          <w:b/>
          <w:sz w:val="20"/>
        </w:rPr>
        <w:t>SEC</w:t>
      </w:r>
      <w:r>
        <w:rPr>
          <w:rFonts w:ascii="Times New Roman" w:hAnsi="Times New Roman"/>
          <w:sz w:val="20"/>
        </w:rPr>
        <w:t>”). Under the registration statement, the Company may, from time to time, sell Securities described in this prospectus in one or more offerings up to an aggregate offering amount of US$300,000,000. This prospectus, which constitutes part of the registration statement, provides you with a general description of the Securities that the Company may offer. Each time the Company sells Securities under the registration statement, it will provide a prospectus supplement that will contain specific information about the terms of that offering of Securities. A prospectus supplement may also add, update or change information contained in this prospectus. Before you invest, you should read both this prospectus and any applicable prospectus supplement together with additional information described under the heading “</w:t>
      </w:r>
      <w:r>
        <w:rPr>
          <w:rFonts w:ascii="Times New Roman" w:hAnsi="Times New Roman"/>
          <w:i/>
          <w:sz w:val="20"/>
        </w:rPr>
        <w:t>Documents Incorporated by Reference</w:t>
      </w:r>
      <w:r>
        <w:rPr>
          <w:rFonts w:ascii="Times New Roman" w:hAnsi="Times New Roman"/>
          <w:sz w:val="20"/>
        </w:rPr>
        <w:t xml:space="preserve">” herein and therein. This prospectus does not contain all of the information set forth in the registration statement, certain parts of which are omitted in accordance with the rules and regulations of the SEC, or the exhibits that are part of the registration statement. Investors in the United States should refer to the registration statement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In this prospectus and any prospectus supplement, unless otherwise indicated, all references to “C$” are to Canadian dollars and references to “$” or “US$” are to U.S. dollars. See “</w:t>
      </w:r>
      <w:r>
        <w:rPr>
          <w:rFonts w:ascii="Times New Roman" w:hAnsi="Times New Roman"/>
          <w:i/>
          <w:sz w:val="20"/>
        </w:rPr>
        <w:t>Currency Presentation and Exchange Rate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prospectus supplement, unless the context otherwise requires, references to “we”, “us”, “our” or similar terms, as well as references to “Eupraxia” or the “Company”, refer to Eupraxia Pharmaceuticals Inc. together, where context requires, with our subsidiaries. </w:t>
      </w:r>
    </w:p>
    <w:p>
      <w:pPr>
        <w:pStyle w:val="TextBody"/>
        <w:bidi w:val="0"/>
        <w:spacing w:before="240" w:after="0"/>
        <w:jc w:val="left"/>
        <w:rPr>
          <w:rFonts w:ascii="Times New Roman" w:hAnsi="Times New Roman"/>
          <w:sz w:val="20"/>
        </w:rPr>
      </w:pPr>
      <w:r>
        <w:rPr>
          <w:rFonts w:ascii="Times New Roman" w:hAnsi="Times New Roman"/>
          <w:sz w:val="20"/>
        </w:rPr>
        <w:t>In the interest of greater clarity for investors, the Company will use EP-104IAR when referring to the product candidate that is intended for intra-articular injections for indications such as osteoarthritis (“</w:t>
      </w:r>
      <w:r>
        <w:rPr>
          <w:rFonts w:ascii="Times New Roman" w:hAnsi="Times New Roman"/>
          <w:b/>
          <w:sz w:val="20"/>
        </w:rPr>
        <w:t>OA</w:t>
      </w:r>
      <w:r>
        <w:rPr>
          <w:rFonts w:ascii="Times New Roman" w:hAnsi="Times New Roman"/>
          <w:sz w:val="20"/>
        </w:rPr>
        <w:t>”), EP-104GI when referring to the product candidate that is intended for submucosal injections in the gastrointestinal (“</w:t>
      </w:r>
      <w:r>
        <w:rPr>
          <w:rFonts w:ascii="Times New Roman" w:hAnsi="Times New Roman"/>
          <w:b/>
          <w:sz w:val="20"/>
        </w:rPr>
        <w:t>GI</w:t>
      </w:r>
      <w:r>
        <w:rPr>
          <w:rFonts w:ascii="Times New Roman" w:hAnsi="Times New Roman"/>
          <w:sz w:val="20"/>
        </w:rPr>
        <w:t>”) tract for indications such as eosinophilic esophagitis (“</w:t>
      </w:r>
      <w:r>
        <w:rPr>
          <w:rFonts w:ascii="Times New Roman" w:hAnsi="Times New Roman"/>
          <w:b/>
          <w:sz w:val="20"/>
        </w:rPr>
        <w:t>EoE</w:t>
      </w:r>
      <w:r>
        <w:rPr>
          <w:rFonts w:ascii="Times New Roman" w:hAnsi="Times New Roman"/>
          <w:sz w:val="20"/>
        </w:rPr>
        <w:t xml:space="preserve">”), and simply refer to the product candidate as EP-104 in conjunction with topics that are related to both EP-104IAR and EP-104GI. </w:t>
      </w:r>
    </w:p>
    <w:p>
      <w:pPr>
        <w:pStyle w:val="TextBody"/>
        <w:bidi w:val="0"/>
        <w:spacing w:before="480" w:after="0"/>
        <w:jc w:val="center"/>
        <w:rPr>
          <w:rFonts w:ascii="Times New Roman" w:hAnsi="Times New Roman"/>
          <w:b/>
          <w:sz w:val="20"/>
        </w:rPr>
      </w:pPr>
      <w:bookmarkStart w:id="29" w:name="toc142683_2"/>
      <w:bookmarkEnd w:id="2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caution readers regarding forward-looking statements found in this prospectus (including the documents incorporated by reference herein). This prospectus, including the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contains “forward-looking statements” within the meaning of the United States Private Securities Litigation Reform Act of 1995, as amended, and “forward-looking information” within the meaning of Canadian securities laws (collectively, “</w:t>
      </w:r>
      <w:r>
        <w:rPr>
          <w:rFonts w:ascii="Times New Roman" w:hAnsi="Times New Roman"/>
          <w:b/>
          <w:sz w:val="20"/>
        </w:rPr>
        <w:t>forward-looking information</w:t>
      </w:r>
      <w:r>
        <w:rPr>
          <w:rFonts w:ascii="Times New Roman" w:hAnsi="Times New Roman"/>
          <w:sz w:val="20"/>
        </w:rPr>
        <w:t xml:space="preserve">”). This forward-looking information is identified by the use of terms and phrases such as “may,” “might,” “will,” “likely,” “could,” “would,” “should,” “expect,” “intend,” “plan,” “objective,” “goal,” “outlook,” “anticipate,” “believe,” “estimate,” “predict,” “project,” “forecast,” “estimate,” “potential,” “target,” “seek,” “contemplate,” “continue,” “design,” and “ongoing,” the negative of these terms and similar terminology, including references to assumptions, although not all forward-looking information contains these terms and phrases. In addition, any statements in this prospectus or in the documents incorporated by reference herein that refer to expectations, intentions, projections or other characterizations of future events or circumstances, contain forward-looking information. Such forward-looking information includes, but is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funding for our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our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enhance our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ability to enter into definitive agreements with our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development programs and activities and the estimated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belief that our planned clinical trials will support future New Drug Application (“</w:t>
            </w:r>
            <w:r>
              <w:rPr>
                <w:rFonts w:ascii="Times New Roman" w:hAnsi="Times New Roman"/>
                <w:b/>
                <w:sz w:val="20"/>
              </w:rPr>
              <w:t>NDA</w:t>
            </w:r>
            <w:r>
              <w:rPr>
                <w:rFonts w:ascii="Times New Roman" w:hAnsi="Times New Roman"/>
                <w:sz w:val="20"/>
              </w:rPr>
              <w:t xml:space="preserve">”) submissions for EP-104GI and EP-104IAR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expand upon and exploit our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advantages and those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our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our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our technologies and expansion of our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our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the sale of our Securities under this prospectus and our existing cash and cash equivalents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and cash equivalents to fund our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upon conversion of our Series 1 Preferred shares in the capital of the Company (the “</w:t>
            </w:r>
            <w:r>
              <w:rPr>
                <w:rFonts w:ascii="Times New Roman" w:hAnsi="Times New Roman"/>
                <w:b/>
                <w:sz w:val="20"/>
              </w:rPr>
              <w:t>Series 1 Preferred Shares</w:t>
            </w:r>
            <w:r>
              <w:rPr>
                <w:rFonts w:ascii="Times New Roman" w:hAnsi="Times New Roman"/>
                <w:sz w:val="20"/>
              </w:rPr>
              <w:t xml:space="preserve">”), and upon exercise of our outstanding stock options and common share purchase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payable on Series 1 Preferred Shares, including the potential issuance of additional Series 1 Preferred Shares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we develop and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completion of, and use of proceeds from the sale of our Securities under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continue development of EP-104GI through subsequent clinical trials required by the FDA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use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we believe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we or a potential partner would submit an NDA for EP-104IAR under Section 505(b)(2) of the </w:t>
            </w:r>
            <w:r>
              <w:rPr>
                <w:rFonts w:ascii="Times New Roman" w:hAnsi="Times New Roman"/>
                <w:i/>
                <w:sz w:val="20"/>
              </w:rPr>
              <w:t>Federal Food, Drug and Cosmetic Act</w:t>
            </w:r>
            <w:r>
              <w:rPr>
                <w:rFonts w:ascii="Times New Roman" w:hAnsi="Times New Roman"/>
                <w:sz w:val="20"/>
              </w:rPr>
              <w:t xml:space="preserve"> to obtain FDA approval, and that such NDA would rely in part on non-clinical studies and clinical trials conducted by us or a potential partner, and in part on the FDA’s prior findings of safety and efficacy for the active ingredient for which we do not have a right of reference or which have been established in the scientific literature in the public domain;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our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seek out-licencing, co-development or marketing partners for our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our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to add two pipeline product candidates over the next 24 months to allow for sustained corporate growth, which we expect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enroll approximately 120 patients in the Phase 2b portion of the RESOLVE trial in up to 25 sites globally, assessing tissue health measured by biopsy (EoEHSS and PEC scores), symptom scores (SDI and DSQ), and safety, over a twelve-month period. In Q4 2026, we expect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our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our trend of net losses will continue into the future as we make further investments in our EP-104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research and development expenses will increase as we undertake clinical trials and incur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that our growth plans will require further capital and our plans to obtain such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Forward-looking information involves known and unknown risks and uncertainties, many of which are beyond our control, that could cause actual results to differ materially from those that are disclosed in or implied by such forward-looking information. These risks and uncertainties include, but are not limited to, those described in greater detail under “</w:t>
      </w:r>
      <w:r>
        <w:rPr>
          <w:rFonts w:ascii="Times New Roman" w:hAnsi="Times New Roman"/>
          <w:i/>
          <w:sz w:val="20"/>
        </w:rPr>
        <w:t>Risk Factors</w:t>
      </w:r>
      <w:r>
        <w:rPr>
          <w:rFonts w:ascii="Times New Roman" w:hAnsi="Times New Roman"/>
          <w:sz w:val="20"/>
        </w:rPr>
        <w:t xml:space="preserve">” below and in the Annual Information Form (defined below),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U.S. Food and Drug Administration (the “</w:t>
            </w:r>
            <w:r>
              <w:rPr>
                <w:rFonts w:ascii="Times New Roman" w:hAnsi="Times New Roman"/>
                <w:b/>
                <w:sz w:val="20"/>
              </w:rPr>
              <w:t>FDA</w:t>
            </w:r>
            <w:r>
              <w:rPr>
                <w:rFonts w:ascii="Times New Roman" w:hAnsi="Times New Roman"/>
                <w:sz w:val="20"/>
              </w:rPr>
              <w:t xml:space="preserve">”)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the Company, which could have a material adverse impact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policies—including the introduction or expansion of “most-favored-nation” or similar reference-pricing frameworks could materially reduce achievable pricing, constrain market access, and adversely impact our revenues, margins, and overall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arrangements we may enter into in the future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our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and product candidates, if approved, may be subject, in part, to the terms and conditions of any future licenses granted to us by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over the use of proceeds from this offering, and we may not use the proceeds in the desired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investors in our Common Shares will experience immediate and substantial dilution after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Series 1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including purchasers of Common Shares in this offering, restrict our operations or require us to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Series 1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established market for certain securities, and we cannot assure you that an active market will develop for our Common Shares on the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markets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could be subject to large price and volume volatility;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w:t>
            </w:r>
          </w:p>
        </w:tc>
      </w:tr>
    </w:tbl>
    <w:p>
      <w:pPr>
        <w:pStyle w:val="TextBody"/>
        <w:bidi w:val="0"/>
        <w:spacing w:before="240" w:after="0"/>
        <w:jc w:val="left"/>
        <w:rPr>
          <w:rFonts w:ascii="Times New Roman" w:hAnsi="Times New Roman"/>
          <w:sz w:val="20"/>
        </w:rPr>
      </w:pPr>
      <w:r>
        <w:rPr>
          <w:rFonts w:ascii="Times New Roman" w:hAnsi="Times New Roman"/>
          <w:sz w:val="20"/>
        </w:rPr>
        <w:t>Although we have attempted to identify important risk factors that could cause actual results to differ materially from those contained in forward-looking information, there may be other risk factors not presently known to us or that we presently believe are not material that could also cause actual results or future events to differ materially from those expressed in such forward-looking information, including but not limited to the factors in the “</w:t>
      </w:r>
      <w:r>
        <w:rPr>
          <w:rFonts w:ascii="Times New Roman" w:hAnsi="Times New Roman"/>
          <w:i/>
          <w:sz w:val="20"/>
        </w:rPr>
        <w:t>Risk Factors</w:t>
      </w:r>
      <w:r>
        <w:rPr>
          <w:rFonts w:ascii="Times New Roman" w:hAnsi="Times New Roman"/>
          <w:sz w:val="20"/>
        </w:rPr>
        <w:t>” section of this prospectus and those described under “</w:t>
      </w:r>
      <w:r>
        <w:rPr>
          <w:rFonts w:ascii="Times New Roman" w:hAnsi="Times New Roman"/>
          <w:i/>
          <w:sz w:val="20"/>
        </w:rPr>
        <w:t>Risk Factors</w:t>
      </w:r>
      <w:r>
        <w:rPr>
          <w:rFonts w:ascii="Times New Roman" w:hAnsi="Times New Roman"/>
          <w:sz w:val="20"/>
        </w:rPr>
        <w:t xml:space="preserve">” in the Annual Information Form, as well as those contained in any prospectus supplement. Our Risk Factors are not guarantees that no such conditions exist as of the date of this prospectus and should not be interpreted as an affirmative statement that such risks or conditions have not materialized, in whole or in part. The Annual Information Form is available under our profile on SEDAR+ at www.sedarplus.ca and as an Exhibit to our Annual Report on Form 40-F under our profile on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information is based on management’s beliefs and assumptions and on information currently available to management. Although the forward-looking information contained in this prospectus and in the documents incorporated by reference herein is based upon what we believe are reasonable assumptions, investors are cautioned against placing undue reliance on this information since actual results may vary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 material risks and uncertainties applicable to the forward-looking statements herein include, without limitation, unforeseen events, developments, or factors causing any of the aforesaid expectations, assumptions, and other factors ultimately being inaccurate or irrelevant. Many of these factors are beyond our control. All forward-looking statements included in this prospectus and the documents incorporated herein by reference are expressly qualified in their entirety by these cautionary statements. The forward-looking statements contained in this prospectus, or the documents incorporated by reference herein are made as at the date hereof or thereof and the Company undertakes no obligation to update publicly or to revise any of the forward-looking statements, whether because of new information, future events, or otherwise,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42683_3"/>
      <w:bookmarkEnd w:id="30"/>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has been incorporated by reference in this prospectus from documents filed with the securities commissions or similar authorities in Canada. </w:t>
      </w:r>
    </w:p>
    <w:p>
      <w:pPr>
        <w:pStyle w:val="TextBody"/>
        <w:bidi w:val="0"/>
        <w:spacing w:before="120" w:after="0"/>
        <w:jc w:val="left"/>
        <w:rPr>
          <w:rFonts w:ascii="Times New Roman" w:hAnsi="Times New Roman"/>
          <w:sz w:val="20"/>
        </w:rPr>
      </w:pPr>
      <w:r>
        <w:rPr>
          <w:rFonts w:ascii="Times New Roman" w:hAnsi="Times New Roman"/>
          <w:sz w:val="20"/>
        </w:rPr>
        <w:t>Copies of the documents incorporated herein by reference may be obtained on request without charge from the secretary of the Company, at 2198 Yukon Street, Vancouver, BC, V5Y 3P1, Canada (Telephone (250) 590-3968) or by accessing the disclosure documents through the Internet on the Canadian System for Electronic Data Analysis and Retrieval + (“</w:t>
      </w:r>
      <w:r>
        <w:rPr>
          <w:rFonts w:ascii="Times New Roman" w:hAnsi="Times New Roman"/>
          <w:b/>
          <w:sz w:val="20"/>
        </w:rPr>
        <w:t>SEDAR+</w:t>
      </w:r>
      <w:r>
        <w:rPr>
          <w:rFonts w:ascii="Times New Roman" w:hAnsi="Times New Roman"/>
          <w:sz w:val="20"/>
        </w:rPr>
        <w:t>”) at www.sedarplus.ca or the Electronic Data Gathering, Analysis, and Retrieval System (“</w:t>
      </w:r>
      <w:r>
        <w:rPr>
          <w:rFonts w:ascii="Times New Roman" w:hAnsi="Times New Roman"/>
          <w:b/>
          <w:sz w:val="20"/>
        </w:rPr>
        <w:t>EDGAR</w:t>
      </w:r>
      <w:r>
        <w:rPr>
          <w:rFonts w:ascii="Times New Roman" w:hAnsi="Times New Roman"/>
          <w:sz w:val="20"/>
        </w:rPr>
        <w:t xml:space="preserv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securities commissions or similar regulatory authorities in certain provinces and territories of Canada are specifically incorporated by reference into, and form an integral part of,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2">
              <w:r>
                <w:rPr>
                  <w:rStyle w:val="InternetLink"/>
                  <w:rFonts w:ascii="Times New Roman" w:hAnsi="Times New Roman"/>
                  <w:sz w:val="20"/>
                </w:rPr>
                <w:t>the annual information form of the Company dated March 11, 2026 for the year ended December 31, 2025</w:t>
              </w:r>
            </w:hyperlink>
            <w:r>
              <w:rPr>
                <w:rFonts w:ascii="Times New Roman" w:hAnsi="Times New Roman"/>
                <w:sz w:val="20"/>
              </w:rPr>
              <w:t xml:space="preserve"> (the “</w:t>
            </w:r>
            <w:r>
              <w:rPr>
                <w:rFonts w:ascii="Times New Roman" w:hAnsi="Times New Roman"/>
                <w:b/>
                <w:sz w:val="20"/>
              </w:rPr>
              <w:t>Annual Information Form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3">
              <w:r>
                <w:rPr>
                  <w:rStyle w:val="InternetLink"/>
                  <w:rFonts w:ascii="Times New Roman" w:hAnsi="Times New Roman"/>
                  <w:sz w:val="20"/>
                </w:rPr>
                <w:t>the audited consolidated financial statements of the Company for the years ended December 31, 2025 and 2024, together with the notes thereto and the report of the independent registered public accounting firm thereon</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14">
              <w:r>
                <w:rPr>
                  <w:rStyle w:val="InternetLink"/>
                  <w:rFonts w:ascii="Times New Roman" w:hAnsi="Times New Roman"/>
                  <w:sz w:val="20"/>
                </w:rPr>
                <w:t>the management’s discussion and analysis of financial condition and results of operations of the Company for the year ended December 31,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5">
              <w:r>
                <w:rPr>
                  <w:rStyle w:val="InternetLink"/>
                  <w:rFonts w:ascii="Times New Roman" w:hAnsi="Times New Roman"/>
                  <w:sz w:val="20"/>
                </w:rPr>
                <w:t xml:space="preserve">the unaudited interim consolidated financial statements of the Company for the three and six months ended June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16">
              <w:r>
                <w:rPr>
                  <w:rStyle w:val="InternetLink"/>
                  <w:rFonts w:ascii="Times New Roman" w:hAnsi="Times New Roman"/>
                  <w:sz w:val="20"/>
                </w:rPr>
                <w:t xml:space="preserve">the management’s discussion and analysis of financial condition and results of operations of the Company for the three and six months ended June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17">
              <w:r>
                <w:rPr>
                  <w:rStyle w:val="InternetLink"/>
                  <w:rFonts w:ascii="Times New Roman" w:hAnsi="Times New Roman"/>
                  <w:sz w:val="20"/>
                </w:rPr>
                <w:t>the management information circular dated May 11, 2026, distributed in connection with the annual general meeting of shareholders held on 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hyperlink r:id="rId18">
              <w:r>
                <w:rPr>
                  <w:rStyle w:val="InternetLink"/>
                  <w:rFonts w:ascii="Times New Roman" w:hAnsi="Times New Roman"/>
                  <w:sz w:val="20"/>
                </w:rPr>
                <w:t>the material change report dated February 23, 2026, regarding the closing of the Company’s brokered public offering for gross proceeds of approximately US$63.2 million</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19">
              <w:r>
                <w:rPr>
                  <w:rStyle w:val="InternetLink"/>
                  <w:rFonts w:ascii="Times New Roman" w:hAnsi="Times New Roman"/>
                  <w:sz w:val="20"/>
                </w:rPr>
                <w:t>the material change report dated July 15, 2026, regarding certain changes to the Company’s management team</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of the type described in Section 11.1 of Form 44-101F1 – </w:t>
      </w:r>
      <w:r>
        <w:rPr>
          <w:rFonts w:ascii="Times New Roman" w:hAnsi="Times New Roman"/>
          <w:i/>
          <w:sz w:val="20"/>
        </w:rPr>
        <w:t>Short Form Prospectus</w:t>
      </w:r>
      <w:r>
        <w:rPr>
          <w:rFonts w:ascii="Times New Roman" w:hAnsi="Times New Roman"/>
          <w:sz w:val="20"/>
        </w:rPr>
        <w:t xml:space="preserve"> required to be incorporated by reference into a short form prospectus, including any annual information forms, all material change reports (excluding confidential reports, if any), all annual and interim financial statements and management’s discussion and analysis relating thereto, or information circulars or amendments thereto filed by the Company with any securities commissions or similar regulatory authority in any province or territory of Canada subsequent to the date of this prospectus and prior to the expiry of this prospectus, or the completion of the issuance of Securities pursuant hereto, will be deemed to be incorporated by reference in this prospectus and will automatically update and supersede information contained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In addition, to the extent that any document or information incorporated by reference into this prospectus is included in any report on Form 6-K, Form 40-F, Form 20-F, Form 10-K, Form 10-Q or Form 8-K (or any respective successor form) that is filed with or furnished to the SEC by the Company after the date of this prospectus, such document or information shall be deemed to be incorporated by reference as an exhibit to the registration statement on Form F-10 of which this prospectus forms a part. The Company may also incorporate by reference into this prospectus or the registration statement of which it forms a part, other information filed with or furnished to the SEC under the U.S. Exchange Act of 1934, as amended (the “</w:t>
      </w:r>
      <w:r>
        <w:rPr>
          <w:rFonts w:ascii="Times New Roman" w:hAnsi="Times New Roman"/>
          <w:b/>
          <w:sz w:val="20"/>
        </w:rPr>
        <w:t>U.S. Exchange Act</w:t>
      </w:r>
      <w:r>
        <w:rPr>
          <w:rFonts w:ascii="Times New Roman" w:hAnsi="Times New Roman"/>
          <w:sz w:val="20"/>
        </w:rPr>
        <w:t xml:space="preserve">”), provided that information included in any report on Form 6-K or Form 8-K shall be so deemed to be incorporated by reference only if and to the extent expressly provided in such Form 6-K or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supplement containing the specific terms of any offering of our Securities will be delivered to purchasers of our Securities together with this prospectus and will be deemed to be incorporated by reference in this prospectus as of the date of the prospectus supplement and only for the purposes of the offering of our Securities to which that prospectus supplement pertains, except that delivery is not required where an exemption from the delivery requirements in the legislation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template version of any “marketing materials” (as such term is defined in National Instrument 44-101 – </w:t>
      </w:r>
      <w:r>
        <w:rPr>
          <w:rFonts w:ascii="Times New Roman" w:hAnsi="Times New Roman"/>
          <w:i/>
          <w:sz w:val="20"/>
        </w:rPr>
        <w:t>Short Form Prospectus Distributions</w:t>
      </w:r>
      <w:r>
        <w:rPr>
          <w:rFonts w:ascii="Times New Roman" w:hAnsi="Times New Roman"/>
          <w:sz w:val="20"/>
        </w:rPr>
        <w:t xml:space="preserve">) filed after the date of a prospectus supplement and before the termination of the distribution of the Securities offered pursuant to such prospectus supplement (together with this prospectus) is deemed to be incorporated by reference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a new annual information form and annual consolidated financial statements being filed by the Company with the applicable Canadian securities commissions or similar regulatory authorities in Canada during the period that this prospectus is effective, the previous annual information form, the previous annual consolidated financial statements and all interim consolidated financial statements and in each case the accompanying management’s discussion and analysis of financial condition and results of operations, and material change reports, as applicable, filed prior to the commencement of the financial year of the Company in which such annual information form is filed shall be deemed to no longer be incorporated into this prospectus for purpose of future offers and sales of Securities under this prospectus. Upon interim consolidated financial statements and the accompanying management’s discussion and analysis of financial condition and results of operations being filed by the Company with the applicable Canadian securities commissions or similar regulatory authorities during the period that this prospectus is effective, all interim consolidated financial statements and the accompanying management’s discussion and analysis of financial condition and results of operations filed prior to such new interim consolidated financial statements and management’s discussion and analysis of financial condition and results of operations, as applicable, shall be deemed to no longer be incorporated into this prospectus for purposes of future offers and sales of Securities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our website in any documents that are incorporated by reference into this prospectus do not incorporate by reference the information on such website into this prospectus, and we disclaim any such incorporation by reference. </w:t>
      </w:r>
    </w:p>
    <w:p>
      <w:pPr>
        <w:pStyle w:val="TextBody"/>
        <w:bidi w:val="0"/>
        <w:spacing w:before="480" w:after="0"/>
        <w:jc w:val="center"/>
        <w:rPr>
          <w:rFonts w:ascii="Times New Roman" w:hAnsi="Times New Roman"/>
          <w:b/>
          <w:sz w:val="20"/>
        </w:rPr>
      </w:pPr>
      <w:bookmarkStart w:id="31" w:name="toc142683_3a"/>
      <w:bookmarkEnd w:id="31"/>
      <w:r>
        <w:rPr>
          <w:rFonts w:ascii="Times New Roman" w:hAnsi="Times New Roman"/>
          <w:b/>
          <w:sz w:val="20"/>
        </w:rPr>
        <w:t xml:space="preserve">DOCUMENTS FILED AS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have been or will be filed with or furnished to the SEC as part of the registration statement on Form F-10 of which this prospectus forms a part: (i) the documents listed under the heading “Documents Incorporated by Reference”; (ii) powers of attorney from our directors and certain officers, as applicable; (iii) the consent of independent registered public accounting firm, KPMG LLP; and (iv) the form of indenture for any Debt Securities issued under this prospectus. A copy of the form of warrant, warrant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subscription receipt agreement or statement of eligibility of trustee on Form T-1, as applicable, will be filed by post-effective amendment or by incorporation by reference to documents filed or furnished with the SEC under the U.S. Exchange Act. </w:t>
      </w:r>
    </w:p>
    <w:p>
      <w:pPr>
        <w:pStyle w:val="TextBody"/>
        <w:bidi w:val="0"/>
        <w:spacing w:before="480" w:after="0"/>
        <w:jc w:val="center"/>
        <w:rPr>
          <w:rFonts w:ascii="Times New Roman" w:hAnsi="Times New Roman"/>
          <w:b/>
          <w:sz w:val="20"/>
        </w:rPr>
      </w:pPr>
      <w:bookmarkStart w:id="32" w:name="toc142683_3b"/>
      <w:bookmarkEnd w:id="32"/>
      <w:r>
        <w:rPr>
          <w:rFonts w:ascii="Times New Roman" w:hAnsi="Times New Roman"/>
          <w:b/>
          <w:sz w:val="20"/>
        </w:rPr>
        <w:t xml:space="preserve">CURRENCY PRESENTATION AND 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in our financial statements and the related management’s discussion and analysis that are incorporated by reference into this prospectus, the financial information contained in such documents is expressed in U.S. dollars. Exchange rates between U.S. dollars and the Canadian dollar are included below.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2026, the rate of exchange posted by the Bank of Canada for conversion of U.S. dollars into Canadian dollars was C$1.00 = US$0.7212 or US$1.00 = C$1.3865. </w:t>
      </w:r>
    </w:p>
    <w:p>
      <w:pPr>
        <w:pStyle w:val="TextBody"/>
        <w:bidi w:val="0"/>
        <w:spacing w:before="480" w:after="0"/>
        <w:jc w:val="center"/>
        <w:rPr>
          <w:rFonts w:ascii="Times New Roman" w:hAnsi="Times New Roman"/>
          <w:b/>
          <w:sz w:val="20"/>
        </w:rPr>
      </w:pPr>
      <w:bookmarkStart w:id="33" w:name="toc142683_3c"/>
      <w:bookmarkEnd w:id="33"/>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include certain trademarks, which are protected under applicable intellectual property laws and are our property. Solely for convenience, our trademarks and trade names referred to in this prospectus and in the documents incorporated by reference herein may appear without the ® or  symbol, but such references are not intended to indicate, in any way, that we will not assert, to the fullest extent under applicable law, our rights to these trademarks and trade names. All other trademarks used in this prospectus or the documents incorporated by reference herein are the property of their respective owners. </w:t>
      </w:r>
    </w:p>
    <w:p>
      <w:pPr>
        <w:pStyle w:val="TextBody"/>
        <w:bidi w:val="0"/>
        <w:spacing w:before="480" w:after="0"/>
        <w:jc w:val="center"/>
        <w:rPr>
          <w:rFonts w:ascii="Times New Roman" w:hAnsi="Times New Roman"/>
          <w:b/>
          <w:sz w:val="20"/>
        </w:rPr>
      </w:pPr>
      <w:bookmarkStart w:id="34" w:name="toc142683_4"/>
      <w:bookmarkEnd w:id="34"/>
      <w:r>
        <w:rPr>
          <w:rFonts w:ascii="Times New Roman" w:hAnsi="Times New Roman"/>
          <w:b/>
          <w:sz w:val="20"/>
        </w:rPr>
        <w:t xml:space="preserve">EUPRAXIA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of the Company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rPr>
        <w:t>PK</w:t>
      </w:r>
      <w:r>
        <w:rPr>
          <w:rFonts w:ascii="Times New Roman" w:hAnsi="Times New Roman"/>
          <w:sz w:val="20"/>
        </w:rPr>
        <w:t xml:space="preserve">”)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rPr>
      </w:pPr>
      <w:r>
        <w:rPr>
          <w:rFonts w:ascii="Times New Roman" w:hAnsi="Times New Roman"/>
          <w:sz w:val="20"/>
        </w:rPr>
        <w:t>We currently have two distinct clinical development programs, one targeting EoE and the second targeting chronic OA pain in the knee. Both programs are broadly based upon the same active pharmaceutical ingredient (“</w:t>
      </w:r>
      <w:r>
        <w:rPr>
          <w:rFonts w:ascii="Times New Roman" w:hAnsi="Times New Roman"/>
          <w:b/>
          <w:sz w:val="20"/>
        </w:rPr>
        <w:t>API</w:t>
      </w:r>
      <w:r>
        <w:rPr>
          <w:rFonts w:ascii="Times New Roman" w:hAnsi="Times New Roman"/>
          <w:sz w:val="20"/>
        </w:rPr>
        <w:t>”),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intra-articular (“</w:t>
      </w:r>
      <w:r>
        <w:rPr>
          <w:rFonts w:ascii="Times New Roman" w:hAnsi="Times New Roman"/>
          <w:b/>
          <w:sz w:val="20"/>
        </w:rPr>
        <w:t>IA</w:t>
      </w:r>
      <w:r>
        <w:rPr>
          <w:rFonts w:ascii="Times New Roman" w:hAnsi="Times New Roman"/>
          <w:sz w:val="20"/>
        </w:rPr>
        <w:t xml:space="preserve">”)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rPr>
      </w:pPr>
      <w:r>
        <w:rPr>
          <w:rFonts w:ascii="Times New Roman" w:hAnsi="Times New Roman"/>
          <w:sz w:val="2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rPr>
        <w:t>NORD</w:t>
      </w:r>
      <w:r>
        <w:rPr>
          <w:rFonts w:ascii="Times New Roman" w:hAnsi="Times New Roman"/>
          <w:sz w:val="20"/>
        </w:rPr>
        <w:t xml:space="preserve">”), however a 5- fold increase in the prevalence of EoE reported between 2009 and 2022, has resulted in the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raise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240" w:after="0"/>
        <w:jc w:val="left"/>
        <w:rPr>
          <w:rFonts w:ascii="Times New Roman" w:hAnsi="Times New Roman"/>
          <w:sz w:val="20"/>
        </w:rPr>
      </w:pPr>
      <w:r>
        <w:rPr>
          <w:rFonts w:ascii="Times New Roman" w:hAnsi="Times New Roman"/>
          <w:sz w:val="20"/>
        </w:rPr>
        <w:t>We are currently conducting a Phase 1b/2 clinical trial with EP-104GI in Canada, the Netherlands, Australia, the UK, Switzerland and New Zealand. We also received pre-Investigational New Drug (“</w:t>
      </w:r>
      <w:r>
        <w:rPr>
          <w:rFonts w:ascii="Times New Roman" w:hAnsi="Times New Roman"/>
          <w:b/>
          <w:sz w:val="20"/>
        </w:rPr>
        <w:t>IND</w:t>
      </w:r>
      <w:r>
        <w:rPr>
          <w:rFonts w:ascii="Times New Roman" w:hAnsi="Times New Roman"/>
          <w:sz w:val="20"/>
        </w:rPr>
        <w:t xml:space="preserve">”)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2025 and 2026, the Company announced interim data from the RESOLVE Phase 1b/2a clinical trial evaluating the safety and efficacy of EP-104GI for the treatment of EoE. The data to date from all cohorts suggest that EP-104GI continues to be released into the esophagus at a relatively constant rate from week 2 through month 12, and that EP- 104GI will likely be provided on an annual dosing interval. </w:t>
      </w:r>
    </w:p>
    <w:p>
      <w:pPr>
        <w:pStyle w:val="TextBody"/>
        <w:bidi w:val="0"/>
        <w:spacing w:before="240" w:after="0"/>
        <w:jc w:val="left"/>
        <w:rPr>
          <w:rFonts w:ascii="Times New Roman" w:hAnsi="Times New Roman"/>
          <w:sz w:val="20"/>
        </w:rPr>
      </w:pPr>
      <w:r>
        <w:rPr>
          <w:rFonts w:ascii="Times New Roman" w:hAnsi="Times New Roman"/>
          <w:sz w:val="20"/>
        </w:rPr>
        <w:t xml:space="preserve">On July 8, 2025, the Company announced dosing of the first patient in a Phase 2b, randomized, placebo-controlled, dose- optimization portion of the RESOLVE trial. The Phase 2b portion will enroll approximately 120adult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rPr>
      </w:pPr>
      <w:r>
        <w:rPr>
          <w:rFonts w:ascii="Times New Roman" w:hAnsi="Times New Roman"/>
          <w:sz w:val="2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240" w:after="0"/>
        <w:jc w:val="left"/>
        <w:rPr>
          <w:rFonts w:ascii="Times New Roman" w:hAnsi="Times New Roman"/>
          <w:sz w:val="20"/>
        </w:rPr>
      </w:pPr>
      <w:r>
        <w:rPr>
          <w:rFonts w:ascii="Times New Roman" w:hAnsi="Times New Roman"/>
          <w:sz w:val="20"/>
        </w:rPr>
        <w:t>Further information regarding the business of the Company can be found in our Annual Information Form and the other documents incorporated by reference into this prospectus available on SEDAR+ at www.sedarplus.ca and on EDGAR at www.sec.gov. See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142683_5"/>
      <w:bookmarkEnd w:id="3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Before making an investment decision, prospective purchasers of Securities should carefully consider the information described in this prospectus, any applicable prospectus supplement and the documents incorporated by reference herein and therein. Additional risk factors relating to a specific offering of Securities may be described in the applicable prospectus supplement. Some of the risk factors described herein, in any applicable prospectus supplement and in the documents incorporated by reference herein and therein, are interrelated and, consequently, investors should treat such risk factors as a whole. If any event arising from these risks occurs, our business, prospects, financial condition, results of operations and cash flows, and your investment in the Securities could be materially adversely affected. Additional risks and uncertainties of which we currently are unaware or that are unknown or that we currently deem to be immaterial could have a material adverse effect on our current and projected business, operations and our financial condition and results of operations. Our Risk Factors are not guarantees that no such conditions exist as of the date of this prospectus and should not be interpreted as an affirmative statement that such risks or conditions have not materialized, in whole or in part. We cannot assure you that we will successfully address any or all of these risks. For additional information in respect of the risks affecting our business, see the section “</w:t>
      </w:r>
      <w:r>
        <w:rPr>
          <w:rFonts w:ascii="Times New Roman" w:hAnsi="Times New Roman"/>
          <w:i/>
          <w:sz w:val="20"/>
        </w:rPr>
        <w:t>Risk Factors</w:t>
      </w:r>
      <w:r>
        <w:rPr>
          <w:rFonts w:ascii="Times New Roman" w:hAnsi="Times New Roman"/>
          <w:sz w:val="20"/>
        </w:rPr>
        <w:t>” of our Annual Information Form, which is incorporated herein by reference and is available under our profile on SEDAR+ at www.sedarplus.ca and as an Exhibit to our Annual Report on Form 40-F on EDGAR at www.sec.gov</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New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Investing in the Securities is speculative, and investors could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Securities is speculative and may result in the loss of an investor’s entire investment. Only potential investors who are experienced in high-risk investments and who can afford to lose their entire investment should consider an investment in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outstanding Series 1 Preferred Shares, and any issuance of preferred shares could make it difficult for another company to acquire us or could otherwise adversely affect holders of our Common Shares, which could depress the price of our Common Shares. </w:t>
      </w:r>
    </w:p>
    <w:p>
      <w:pPr>
        <w:pStyle w:val="TextBody"/>
        <w:bidi w:val="0"/>
        <w:spacing w:before="120" w:after="0"/>
        <w:jc w:val="left"/>
        <w:rPr>
          <w:rFonts w:ascii="Times New Roman" w:hAnsi="Times New Roman"/>
          <w:sz w:val="20"/>
        </w:rPr>
      </w:pPr>
      <w:r>
        <w:rPr>
          <w:rFonts w:ascii="Times New Roman" w:hAnsi="Times New Roman"/>
          <w:sz w:val="20"/>
        </w:rPr>
        <w:t>Our board of directors (the “</w:t>
      </w:r>
      <w:r>
        <w:rPr>
          <w:rFonts w:ascii="Times New Roman" w:hAnsi="Times New Roman"/>
          <w:b/>
          <w:sz w:val="20"/>
        </w:rPr>
        <w:t>Board</w:t>
      </w:r>
      <w:r>
        <w:rPr>
          <w:rFonts w:ascii="Times New Roman" w:hAnsi="Times New Roman"/>
          <w:sz w:val="20"/>
        </w:rPr>
        <w:t xml:space="preserve">”) has the authority to issue preferred shares and to determine the preferences, limitations and relative rights of preferred shares and to fix the number of shares constituting any series and the designation of such series, without any further vote or action by our shareholders. The Company currently has 8,295,638 Series 1 Preferred Shares issued and outstanding, and may issue additional preferred shares in the future. Our preferred shares may be issued with liquidation, dividend and other rights superior to the rights of our Common Shares. The potential issuance of preferred shares may delay or prevent a change in control of the Company, discourage bids for our Common Shares at a premium over the market price and adversely affect the market price and other rights of the holders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constating documents permit us to issue an unlimited number of Common Shares without additional shareholder approval. </w:t>
      </w:r>
    </w:p>
    <w:p>
      <w:pPr>
        <w:pStyle w:val="TextBody"/>
        <w:bidi w:val="0"/>
        <w:spacing w:before="120" w:after="0"/>
        <w:jc w:val="left"/>
        <w:rPr>
          <w:rFonts w:ascii="Times New Roman" w:hAnsi="Times New Roman"/>
          <w:sz w:val="20"/>
        </w:rPr>
      </w:pPr>
      <w:r>
        <w:rPr>
          <w:rFonts w:ascii="Times New Roman" w:hAnsi="Times New Roman"/>
          <w:sz w:val="20"/>
        </w:rPr>
        <w:t>Our notice of articles and articles (the “</w:t>
      </w:r>
      <w:r>
        <w:rPr>
          <w:rFonts w:ascii="Times New Roman" w:hAnsi="Times New Roman"/>
          <w:b/>
          <w:sz w:val="20"/>
        </w:rPr>
        <w:t>Articles</w:t>
      </w:r>
      <w:r>
        <w:rPr>
          <w:rFonts w:ascii="Times New Roman" w:hAnsi="Times New Roman"/>
          <w:sz w:val="20"/>
        </w:rPr>
        <w:t xml:space="preserve">”) permit us to issue an unlimited number of Common Shares. We anticipate that we will, from time to time, issue additional Common Shares in the future. Subject to the requirements of the TSX and Nasdaq, we will not be required to obtain the approval of shareholders for the issuance of additional Common Shares. Any further issuances of Common Shares will result in immediate dilution to existing shareholders and may have an adverse effect on the value of their shareholdings.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negative operating cash flow and may continue to experience negative operating cash flow. </w:t>
      </w:r>
    </w:p>
    <w:p>
      <w:pPr>
        <w:pStyle w:val="TextBody"/>
        <w:bidi w:val="0"/>
        <w:spacing w:before="120" w:after="0"/>
        <w:jc w:val="left"/>
        <w:rPr>
          <w:rFonts w:ascii="Times New Roman" w:hAnsi="Times New Roman"/>
          <w:sz w:val="20"/>
        </w:rPr>
      </w:pPr>
      <w:r>
        <w:rPr>
          <w:rFonts w:ascii="Times New Roman" w:hAnsi="Times New Roman"/>
          <w:sz w:val="20"/>
        </w:rPr>
        <w:t xml:space="preserve">Since its incorporation in May 2011, the Company has generated negative operating cash flows. The Company anticipates that it will continue to have negative cash flow and it expects to continue to incur losses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foreseeable future as the Company continues to research and develop, and seek regulatory clearances for, its current product candidates and other potential product candidates. To the extent that the Company has negative operating cash flow in future periods, it may need to allocate a portion of its cash reserves to fund such negative cash flow. The Company may also be required to raise additional funds through the issuance of equity or debt securities. There can be no assurance that the Company will be able to generate a positive cash flow from its operations, that additional capital or other types of financing will be available when needed or that these financings will be on terms favourable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shareholders, including purchasers, restrict our operations or require us to relinquish rights to our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the Company can generate substantial product revenue, the Company expects to finance its cash needs through equity offerings, debt financings, or other capital sources, including potential collaborations, licenses and other similar arrangements. The Company does not have any committed external source of funds. To the extent that the Company raises additional capital through the sale of equity or convertible debt securities, your ownership interest may be diluted, and the terms of these securities may include liquidation or other preferences that adversely affect your rights as a common shareholder. The Company is authorized to issue an unlimited number of Common Shares. Debt financing and preferred equity financing, if available, may involve agreements that include covenants limiting or restricting the Company’s ability to take specific actions, such as incurring additional debt, making capital expenditures or declaring dividends. Such restrictions could adversely impact our ability to conduct the Company’s operations and execute its business plan.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raises additional funds through future collaborations, licenses and other similar arrangements, it may be required to relinquish valuable rights to its future revenue streams, product candidates, research programs, intellectual property or proprietary technology, or grant licenses on terms that may not be favorable to it and/or that may reduce the value of the Common Shares. If the Company is unable to raise additional funds through equity or debt financings or other arrangements when needed or on terms acceptable to it, the Company would be required to delay, limit, reduce or terminate its product development or future commercialization efforts, or grant rights to develop and market product candidates that it might otherwise prefer to develop and market ourselves, or on less favorable terms than the Company would otherwise choose.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stock options could cause dilution.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outstanding stock options representing a right to receive Common Shares upon vesting and the exercise of the stock options. The exercise of stock options, and the subsequent resale of such Common Shares in the public market, could adversely affect the prevailing market price of the Common Shares and the Company’s ability to raise equity capital in the future at a time and price which it deems appropriate. The Company may also enter into commitments in the future which would require the issuance of additional Common Shares and the Company is expected to grant additional stock options. Any Common Shares issuances from the Company’s treasury will result in immediate dilution to existing shareholders’ percentage interest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warrants, Series 1 Preferred Shares convertible into Common Shares, and shares of a subsidiary exchangeable for Common Shares outstanding, which in each case, if exercised, converted or exchanged, respectively, could cause dilution to existing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have outstanding stock options representing a right to receive common shares upon vesting and the exercise of the stock options, outstanding warrants that are exercisable for common shares, and Series 1 Preferred Shares that are convertible into common shares. Pursuant to the terms of our amended and restated stock option plan, the number of common shares we may grant under such plan will automatically increase upon the closing of this offering such that the aggregate number of common shares that may be reserved for issuance under the stock option plan equals 18.5% of our outstanding common shares. Furthermore, Eupraxia Pharma Inc., our subsidiary, has non-voting Class B shares outstanding that are exchangeable into common shares at any time at the election of the holder. The exercise of stock options and warrants, the conversion of Series 1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into common shares, and the exchange of such Class B shares and the subsequent resale of such common shares in the public market, could adversely affect the prevailing market price of the common shares and our ability to raise equity capital in the future at a time and price which we deem appropriate. We may also enter into commitments in the future which would require the issuance of additional common shares and we are expected to grant additional stock options. Any common shares issuances from our treasury will result in immediate dilution to existing shareholders’ percentage interest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Common Shares may have limited liquidity.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the Company may be unable to sell significant quantities of Common Shares into the public trading markets without a significant reduction in the price of their Common Shares, or at all. There can be no assurance that there will be sufficient liquidity of the Common Shares on the trading market, and that the Company will continue to meet the listing requirements of the TSX, maintain a listing on Nasdaq, or achieve or maintain a listing on any other securities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established market for certain securities, and the Company cannot assure you that an active market will develop for Common Shares on Nasdaq.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market for the preferred shares, debt securities, warrants, subscription receipts or units contemplated by this prospectus and, unless otherwise specified in the applicable prospectus supplement, the Company does not intend to apply for listing of the preferred shares, debt securities, warrants, subscription receipts or units on any securities exchanges. If the preferred shares, debt securities, warrants, subscription receipts or units are traded after their initial issuance, they may trade at a discount from their initial offering prices depending on prevailing interest rates (as applicable), the market for similar securities and other factors, including general economic conditions and our financial condition. There can be no assurance as to the liquidity of the trading market for the preferred shares, debt securities, warrants, subscription receipts or units, or that a trading market for these securities will develop at all.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Common Shares are listed on the TSX and on Nasdaq under the symbol “EPRX”. The Company cannot assure you that its listing of the Common Shares on the TSX and Nasdaq will be maintained, or that an active trading market for the Common Shares will be sustained. Accordingly, the Company cannot assure you of the liquidity of any trading market, your ability to sell the Common Shares when desired or the prices that you may obtain for your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debt securities may be unsecured. </w:t>
      </w:r>
    </w:p>
    <w:p>
      <w:pPr>
        <w:pStyle w:val="TextBody"/>
        <w:bidi w:val="0"/>
        <w:spacing w:before="120" w:after="0"/>
        <w:jc w:val="left"/>
        <w:rPr>
          <w:rFonts w:ascii="Times New Roman" w:hAnsi="Times New Roman"/>
          <w:sz w:val="20"/>
        </w:rPr>
      </w:pPr>
      <w:r>
        <w:rPr>
          <w:rFonts w:ascii="Times New Roman" w:hAnsi="Times New Roman"/>
          <w:sz w:val="20"/>
        </w:rPr>
        <w:t>Unless otherwise indicated in the applicable prospectus supplement, the debt securities may be unsecured and will rank equally in right of payment with all our other existing and future unsecured debt. Any unsecured debt securities will be effectively subordinated to all our existing and future secured debt to the extent of the assets securing such debt. If we are involved in any bankruptcy, dissolution, liquidation or reorganization, the secured debt holders would, to the extent of the value of the assets securing the secured debt, be paid before the holders of unsecured debt securities, including the debt securities. In that event, a holder of debt securities may not be able to recover any principal or interest due to it under the debt securities. See “</w:t>
      </w:r>
      <w:r>
        <w:rPr>
          <w:rFonts w:ascii="Times New Roman" w:hAnsi="Times New Roman"/>
          <w:i/>
          <w:sz w:val="20"/>
        </w:rPr>
        <w:t>Description of Debt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Prevailing interest rates may affect the market price or value of any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Prevailing interest rates may affect the market price or value of any debt securities. The market price or value of any debt securities may decline as prevailing interest rates for comparable debt instruments rise and increase as prevailing interest rates for comparable debt instruments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foreign currency markets may affect the market price or value of any of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 These risks include, without limitation, the possibility of significant fluctuations in the foreign currency markets, the imposition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modification of foreign exchange controls and potential liquidity restrictions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not be able to obtain enforcement of civil liabilities against us. </w:t>
      </w:r>
    </w:p>
    <w:p>
      <w:pPr>
        <w:pStyle w:val="TextBody"/>
        <w:bidi w:val="0"/>
        <w:spacing w:before="120" w:after="0"/>
        <w:jc w:val="left"/>
        <w:rPr>
          <w:rFonts w:ascii="Times New Roman" w:hAnsi="Times New Roman"/>
          <w:sz w:val="20"/>
        </w:rPr>
      </w:pPr>
      <w:r>
        <w:rPr>
          <w:rFonts w:ascii="Times New Roman" w:hAnsi="Times New Roman"/>
          <w:sz w:val="20"/>
        </w:rPr>
        <w:t xml:space="preserve">The enforcement by investors of civil liabilities under the U.S. federal or state securities laws may be affected adversely by the fact that we are governed by the </w:t>
      </w:r>
      <w:r>
        <w:rPr>
          <w:rFonts w:ascii="Times New Roman" w:hAnsi="Times New Roman"/>
          <w:i/>
          <w:sz w:val="20"/>
        </w:rPr>
        <w:t xml:space="preserve">Business Corporations Act </w:t>
      </w:r>
      <w:r>
        <w:rPr>
          <w:rFonts w:ascii="Times New Roman" w:hAnsi="Times New Roman"/>
          <w:sz w:val="20"/>
        </w:rPr>
        <w:t xml:space="preserve">(British Columbia), that the majority of our officers and directors are residents of Canada or otherwise reside outside the United States, and that all, or a substantial portion of their assets and a substantial portion of our assets, are located outside the United States. It may not be possible for investors to effect service of process within the United States on certain of our directors and officers or enforce judgments obtained in the United States courts against us or certain of our directors and officers based upon the civil liability provisions of United States federal securities laws or the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some doubt as to whether a judgment of a U.S. court based solely upon the civil liability provisions of U.S. federal or state securities laws would be enforceable in Canada against us or our directors and officers. There is also doubt as to whether an original action could be brought in Canada against us or our directors and officers to enforce liabilities based solely upon U.S.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subject to different U.S. securities laws and rules than a domestic U.S. issuer, which may limit the information publicly available to our U.S. holders.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under applicable U.S. federal securities laws and, therefore, we are not required to comply with all the periodic disclosure and current reporting requirements of the U.S. Exchange Act. and related rules and regulations, applicable to U.S. domestic issuers. We do not file all of the same reports that a U.S. domestic issuer would file with the SEC, although we are required to file with or furnish to the SEC the continuous disclosure documents that we are required to file in Canada under Canadian securities laws. In addition, our officers, directors and principal shareholders are exempt from the reporting and “short swing” profit recovery provisions of Section 16 of the U.S. Exchange Act. Therefore, our shareholders may not know on as timely a basis when our officers, directors and principal shareholders purchase or sell Common Shares as the reporting periods under the corresponding Canadian insider reporting requirements are longer. In addition, as a foreign private issuer, we are exempt from the proxy rules under the U.S.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costs and expenses to us.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maintain our current status as a foreign private issuer, a majority of our Common Shares must be either directly or indirectly owned by non-residents of the United States unless we also satisfy one of the additional requirements necessary to preserve this status. We may in the future lose our foreign private issuer status if a majority of the Common Shares are held in the United States and we fail to meet the additional requirements necessary to avoid loss of foreign private issuer status. The regulatory and compliance costs to us under U.S. federal securities laws as a U.S. domestic issuer may be significantly more than the costs we incur as a Canadian foreign private issuer eligible to use the MJDS. If we are not a foreign private issuer, we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We may lose the ability to rely upon exemptions from Nasdaq corporate governance requirements that are available to foreign private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of our shares may suffer adverse tax consequences if we are characterized as a passive foreign investment company. </w:t>
      </w:r>
    </w:p>
    <w:p>
      <w:pPr>
        <w:pStyle w:val="TextBody"/>
        <w:bidi w:val="0"/>
        <w:spacing w:before="120" w:after="0"/>
        <w:jc w:val="left"/>
        <w:rPr>
          <w:rFonts w:ascii="Times New Roman" w:hAnsi="Times New Roman"/>
          <w:sz w:val="20"/>
        </w:rPr>
      </w:pPr>
      <w:r>
        <w:rPr>
          <w:rFonts w:ascii="Times New Roman" w:hAnsi="Times New Roman"/>
          <w:sz w:val="20"/>
        </w:rPr>
        <w:t>We may be treated as a passive foreign investment company (“</w:t>
      </w:r>
      <w:r>
        <w:rPr>
          <w:rFonts w:ascii="Times New Roman" w:hAnsi="Times New Roman"/>
          <w:b/>
          <w:sz w:val="20"/>
        </w:rPr>
        <w:t>PFIC</w:t>
      </w:r>
      <w:r>
        <w:rPr>
          <w:rFonts w:ascii="Times New Roman" w:hAnsi="Times New Roman"/>
          <w:sz w:val="20"/>
        </w:rPr>
        <w:t xml:space="preserve">”) for U.S. federal income tax purposes, in which case U.S. holders would be subject to a special, generally adverse tax regime. Generally, for any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in which 75% or more of our gross income is passive income, or at least 50% of the value of our assets (as determined under applicable U.S. Treasury Regulations, which may be determined in part by the market value of our shares, which is subject to change) are held for the production of, or produce, passive income, we would be characterized as a PFIC for U.S. federal income tax purposes. We will be treated as owning the proportionate share of the assets and earning the proportionate share of the income of any other corporation, the equity of which we own, directly or indirectly, 25% or more (by value). We have not completed a formal assessment of our status as a PFIC for 2025 or for the current taxable year; however, based on our gross income and gross assets, we believe that we were a PFIC for the taxable year ending December 31, 2025, and may be a PFIC for subsequent taxable years. Our status as a PFIC is a fact-intensive determination, and we cannot provide any assurance regarding our PFIC status for the current taxable year or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U.S. holders of our shares may suffer adverse tax consequences. If we are a PFIC in any year with respect to which a U.S. holder owns our shares, we will continue to be treated as a PFIC with respect to such U.S. holder in all succeeding years during which the U.S. holder owns our shares, whether or not we remain a PFIC unless such U.S. holder makes a qualified electing fund or mark-to-market election. Gains realized by non-corporate U.S. holders on the sale of our shares would be taxed as ordinary income, rather than as capital gain, and the preferential tax rate applicable to dividends received on our Common Shares would be lost. Interest charges would also be added to taxes on gains on disposition of our shares and dividends realized by all U.S. holders. U.S. holders should consult their own tax advisors with respect to their particular circumstances. In order to make either a qualified electing fund or mark-to-market election certain requirements must be met. We cannot provide any assurances that these requirements will be met in order for U.S. holders to be able to make a qualified electing fund or mark-to-market election. U.S. holders should consult their tax advisors regarding the potential application of these rules to their investment in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including the rules governing any elections that may potentially be made by a U.S. Holder, are extremely complex. Each U.S. holder should consult its own tax advisor regarding our potential PFIC status and how the PFIC rules (including elections that may be available thereunder) would affect the U.S. federal income tax consequences of the acquisition, ownership and disposition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use of proceeds from sales of the Securities, and we may not use the proceeds in the desired manner. </w:t>
      </w:r>
    </w:p>
    <w:p>
      <w:pPr>
        <w:pStyle w:val="TextBody"/>
        <w:bidi w:val="0"/>
        <w:spacing w:before="120" w:after="0"/>
        <w:jc w:val="left"/>
        <w:rPr>
          <w:rFonts w:ascii="Times New Roman" w:hAnsi="Times New Roman"/>
          <w:sz w:val="20"/>
        </w:rPr>
      </w:pPr>
      <w:r>
        <w:rPr>
          <w:rFonts w:ascii="Times New Roman" w:hAnsi="Times New Roman"/>
          <w:sz w:val="20"/>
        </w:rPr>
        <w:t>Our management will have discretion concerning the use of the proceeds from sales of the Securities as well as the timing of their expenditure. As a result, an investor will be relying on the judgment of management for the application of the proceeds from sales of the Securities. Our management may use the net proceeds from sales of the Securities other than as described under the heading “</w:t>
      </w:r>
      <w:r>
        <w:rPr>
          <w:rFonts w:ascii="Times New Roman" w:hAnsi="Times New Roman"/>
          <w:i/>
          <w:sz w:val="20"/>
        </w:rPr>
        <w:t>Use of Proceeds</w:t>
      </w:r>
      <w:r>
        <w:rPr>
          <w:rFonts w:ascii="Times New Roman" w:hAnsi="Times New Roman"/>
          <w:sz w:val="20"/>
        </w:rPr>
        <w:t>” if they believe it would be in our best interest to do so and in ways that an investor may not consider desirable. The results and the effectiveness of the application of the proceeds are uncertain. If the proceeds are not applied effectively, our results of operations may suffer</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Company’s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no products approved for commercial sale, which may make it difficult for you to evaluate our current business and predict our future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 stage biotechnology company with limited operating history and in particular, no history of earnings; we have not paid any dividends and we are unlikely to pay any dividends in the immediate or foreseeable future. Our success will depend to a large extent on the expertise, ability, judgement, discretion, integrity and good faith of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in any jurisdiction and have not generated any revenue from product sales. To date, we have devoted substantially all of our resources and efforts to organizing and staffing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company, business planning, discovering, identifying and developing potential product candidates, securing related intellectual property rights and conducting preclinical studies and clinical trials of our product candidates.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 stage pharmaceutical companies in rapidly evolving fields. We also may need to transition from a company with a research focus to a company capable of supporting commercial activities, or enter into strategic partnerships with one or more companies with such capability. If we do not adequately address these risks and difficulties or successfully make such a transition,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spend a significant amount of capital to fund research and development. As a result, we expect that our operating expenses will increase significantly and, consequently, we will need to generate significant revenues to become profitable. Even if we do become profitable, we may not be able to sustain or increase profitability on a quarterly or annual basis. We cannot predict when, if ever, we will be profitable. There can be no assurances that we will be capable of producing products, if marketing authorization is received, in commercial quantities at reasonable costs or that we will successfully market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substantial additional financing to achieve our goals and a failure to obtain this necessary capital when needed could force us to delay, limit, reduce or terminate our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As of June 30, 2026, we had $52.4 million of cash and cash equivalents. We anticipate our cash resources will be sufficient to fund the Company into the second half of 2028. We believe that we will continue to expend substantial resources for the foreseeable future as we continue the development of EP-104. Additionally, we expect to expend resources as we develop additional product candidates, if any, launch clinical trials and pursue commercialization of such product candidates, if approved. In addition, other unanticipated costs may arise. Because the outcome of our planned and anticipated clinical trials are highly uncertain, we cannot reasonably estimate the actual amounts necessary to successfully complete the development and commercialization of product candidates, if approved. Our costs will increase if we suffer any delays in our planned clinical trials for our current product candidates. Our forecast of the period of time through which our financial reserves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sz w:val="20"/>
        </w:rPr>
        <w:t>Risk Factors</w:t>
      </w:r>
      <w:r>
        <w:rPr>
          <w:rFonts w:ascii="Times New Roman" w:hAnsi="Times New Roman"/>
          <w:sz w:val="20"/>
        </w:rPr>
        <w:t xml:space="preserve">” section. We have based this estimate on assumptions that may prove to be wrong, and we could utilize our available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product candidates if clinical trials are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and advancing product candidates through clinical trials and researching and discovering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strategic partnerships, licensing or other arrangements and the financial terms of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product candidates for clinical trials in preparation for regulatory approval and in preparation for commercialization,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 from an approved product candidate, if any;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preparing, filing, prosecuting, maintaining, defending and enforcing patent claims, including litigation costs and the outcome of such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ongoing economic slowdown and downturn of global capital markets has generally made the raising of capital by equity or debt financing more difficult. Access to financing has been negatively impacted by ongoing global economic risks. We will require substantial additional funds for further research and development, and the marketing and sale of our technology. We may attempt to raise additional funds for these purposes through public or private equity or debt financing, collaborations with other therapeutic companies, government grants or other sources. There can be no assurance that additional funding or partnerships will be available on terms acceptable to us, and which would foster the successful commercialization of our technologies. If additional funds are raised through further issuances of equity or convertible debt securities, existing shareholders could suffer significant dilution, and any new equity securities issued could have rights, preferences and privileges superior to those of the Common Shares. Any debt financing secured in the future could involve restrictive covenants relating to capital raising activities and other financial and operational matters, which may make it more difficult for us to obtain additional capital or to pursue business opportunities, including potential acquisitions. If adequate funds are not obtained, we may be required to reduce, curtail or discontinue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substantially dependent on the success of our lead product candidates EP-104GI, which is currently being studied in an open label Phase 1b/2a clinical study and a randomized, controlled Phase 2b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is dependent on our ability to timely complete clinical trials, obtain marketing approval for and successfully commercialize our lead product candidates, EP-104GI, and EP-104IAR. We have invested significant efforts and financial resources in the research and development of EP-104GI and EP-104IAR. We are conducting a Phase 1b/2a open label clinical trial and a Phase 2b randomized, controlled clinical trial for the proposed indication of EoE and have conducted a Phase 2 clinical trial for the proposed indication of OA. Both indications will require additional clinical development, evaluation of clinical, preclinical and manufacturing activities, marketing approval from government regulators, substantial investment and significant marketing efforts before we can generate any revenues from sales of any approved products. In addition, we are evaluating funding alternatives for the continued development of EP-104IAR, including potential partnership opportunities. If we are unable to secure such funding, we may ultimately discontinue our efforts with respect to this candidate. We are not permitted to market or promote EP-104GI, EP-104IAR or any other product candidate before we receive marketing approval from the FDA and/or comparable foreign regulatory authorities, and we may never receive such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and achieve profitability depends significantly on several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non-clinical and clinical development of our product candidates and any future product candidates, as well as the associated costs, including any unforeseen costs we may incur as a result of non-clinical study or clinical trial delays due to public health crises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successful patient enrollment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relationships with CROs and clinical sites for the clinical development, both in the United States and internationally, of our product candidates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strategic partnerships for the development and commercialization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safety and tolerability profiles that are satisfactory to the FDA, EMA, Health Canada or any comparable foreign regulatory authority for obtaining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from applicable regulatory authorities for any product candidates for which we successfully complete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and complying with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 efficient and scalable manufacturing process for our product candidates, including obtaining finished products that are appropriately packaged for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commercial launch following any marketing approval, including the development of a commercial infrastructure, whether in-house or with one or more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continued acceptable safety profile following any marketing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acceptance of our product candidates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assessing and developing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and expanding patent protection, trade secret protection and/or regulatory exclusivity;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rights in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defending against third-party interference or infringement claims,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that may be necessary or desirable to develop, manufacture or commercialize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approval for pricing where required and obtaining coverage and adequate reimbursement by hospitals, government and third-party payors for product candidates that we develop and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therapies and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To the extent we enter into strategic partnerships, we will be subject to the risks described under “</w:t>
      </w:r>
      <w:r>
        <w:rPr>
          <w:rFonts w:ascii="Times New Roman" w:hAnsi="Times New Roman"/>
          <w:i/>
          <w:sz w:val="20"/>
        </w:rPr>
        <w:t>Collaboration arrangements we may enter into in the future may not be successful</w:t>
      </w:r>
      <w:r>
        <w:rPr>
          <w:rFonts w:ascii="Times New Roman" w:hAnsi="Times New Roman"/>
          <w:sz w:val="20"/>
        </w:rPr>
        <w:t xml:space="preserve">.” 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delays in developing a sustainable, reproducible and scalable manufacturing process or transferring that process to commercial partners, which may prevent us from completing our clinical trials or commercializing our product candidates, if approved, on a timely or profitable basis, if at all.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process or facilities will require further comparability analysis and approval by the FDA or any comparable foreign regulatory authority before implementation, which could delay our clinical trials and product candidate development, and could require additional clinical trials, including bridging studies, to demonstrate consistent and continued safety and potency.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previously submitted an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candidate. We cannot be certain that our current or future product candidates will be successful in clinical trials or receive regulatory approval. Further, even if such product candidates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p>
      <w:pPr>
        <w:pStyle w:val="TextBody"/>
        <w:bidi w:val="0"/>
        <w:spacing w:before="120" w:after="0"/>
        <w:jc w:val="left"/>
        <w:rPr>
          <w:rFonts w:ascii="Times New Roman" w:hAnsi="Times New Roman"/>
          <w:sz w:val="20"/>
        </w:rPr>
      </w:pPr>
      <w:r>
        <w:rPr>
          <w:rFonts w:ascii="Times New Roman" w:hAnsi="Times New Roman"/>
          <w:sz w:val="20"/>
        </w:rPr>
        <w:t>The Company is developing its Licensed Products (as defined in the Annual Information Form) pursuant to the amended and restated license agreement dated effective October 9, 2018 (the “</w:t>
      </w:r>
      <w:r>
        <w:rPr>
          <w:rFonts w:ascii="Times New Roman" w:hAnsi="Times New Roman"/>
          <w:b/>
          <w:sz w:val="20"/>
        </w:rPr>
        <w:t>Amended and Restated License</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with Auritec Pharmaceuticals Inc. (“</w:t>
      </w:r>
      <w:r>
        <w:rPr>
          <w:rFonts w:ascii="Times New Roman" w:hAnsi="Times New Roman"/>
          <w:b/>
          <w:sz w:val="20"/>
        </w:rPr>
        <w:t>Auritec</w:t>
      </w:r>
      <w:r>
        <w:rPr>
          <w:rFonts w:ascii="Times New Roman" w:hAnsi="Times New Roman"/>
          <w:sz w:val="20"/>
        </w:rPr>
        <w:t xml:space="preserve">”). The Company is subject to a number of risks associated with its collaboration with Auritec, including the risk that Auritec may terminate the Amended and Restated License Agreement upon the occurrence of certain specified events. The Amended and Restated License Agreement requires, among other things, that the Company make certain payments and use reasonable commercial efforts to meet certain clinical and regulatory milestones. If it fails to comply with any of these obligations or otherwise breaches this or similar agreements, Auritec or any future licensors may have the right to terminate the license in whole.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could also suffer the consequences of non-compliance or breaches by licensors in connection with its license agreements. Such non-compliance or breaches by such third parties could in turn result in the Company’s breaches or defaults under its agreements with its other collaboration partners, and it could be found liable for damages or lose certain rights, including rights to develop and/or commercialize a product or product candidate. Loss of its rights to the Amended and Restated License Agreement or any similar license granted to the Company in the future, or the exclusivity rights provided therein, could harm the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t>
      </w:r>
      <w:r>
        <w:rPr>
          <w:rFonts w:ascii="Times New Roman" w:hAnsi="Times New Roman"/>
          <w:b/>
          <w:sz w:val="20"/>
        </w:rPr>
        <w:t>SVB</w:t>
      </w:r>
      <w:r>
        <w:rPr>
          <w:rFonts w:ascii="Times New Roman" w:hAnsi="Times New Roman"/>
          <w:sz w:val="20"/>
        </w:rPr>
        <w:t>”) was closed by the California Department of Financial Protection and Innovation, which appointed the Federal Deposit Insurance Corporation (“</w:t>
      </w:r>
      <w:r>
        <w:rPr>
          <w:rFonts w:ascii="Times New Roman" w:hAnsi="Times New Roman"/>
          <w:b/>
          <w:sz w:val="20"/>
        </w:rPr>
        <w:t>FDIC</w:t>
      </w:r>
      <w:r>
        <w:rPr>
          <w:rFonts w:ascii="Times New Roman" w:hAnsi="Times New Roman"/>
          <w:sz w:val="20"/>
        </w:rPr>
        <w:t xml:space="preserve">”) as receiver. Also in March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Signature Bank and Silvergate Capital Corp. were each swept into receivership. Although a statement by the U.S.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were hampered in accessing undrawn amounts thereunder. If any of the Company’s suppliers or other parties with whom the Company conducts business are unable to access funds pursuant to such instruments or lending arrangements with such a financial institution or other distressed financial institutions, such parties’ ability to pay their obligations to us or to enter into new commercial arrangements requiring additional payments to us could be adversely affected. The Company, and any suppliers or other parties that are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previously announced a program to provide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assesses its banking and customer relationships as it believes necessary or appropriate, the Company’s access to funding sources and other credit arrangements in amounts adequate to finance or capitalize the Company’s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events or concerns that involve one or more of these factors could include a variety of material and adverse impacts on the Company’s current and projected business operations and the Company’s financial condition and results of operations. These could include, but may not be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the Company to maintain letters of credit or other credit support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the Company’s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Canadian,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the Company to acquire financing on acceptable terms or at all. Any decline in available funding or access to the Company’s cash and liquidity resources could, among other risks, adversely impact the Company’s ability to meet its operating expenses, financial obligations or fulfill its other obligations, result in breaches of the Company’s financial and/or contractual obligations or result in violations of federal or state wage and hour laws. Any of these impacts, or any other impacts resulting from the factors described above or other related or similar factors not described above, could have a material adverse effect on the Company’s liquidity and its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the Company’s counterparties, which in turn, could have a material adverse effect on the Company’s current and/or projected business operations and results of operations and financial condition. For example, counterparties may fail to make payments when due, default under their agreements with us, become insolvent or declare bankruptcy, or a supplier may determine that it will no longer deal with us as a customer. In addition, a counterparty could be adversely affected by any of the liquidity or other risks that are described above as factors that could result in a material adverse effect on the Company, including but not limited to delayed access or loss of access to uninsured deposits or loss of the ability to draw on existing credit facilities involving a troubled or failed financial institution. Any counterparty bankruptcy or insolvency, or the failure of any counterparty to make payments when due, or any breach or default by a counterparty, or the loss of any significant supplier relationships, could result in material losses to the Company and may have a material adverse effect on the Company’s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FDA or comparable foreign regulatory authorities or provide the basis for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preclinical development and then extensive clinical trials to demonstrate their safety and efficacy. Preclinical and clinical testing is expensive and difficult to design and implement. Preclinical and clinical testing can take many years to complete, and its ultimate outcome is uncertain. </w:t>
      </w:r>
    </w:p>
    <w:p>
      <w:pPr>
        <w:pStyle w:val="TextBody"/>
        <w:bidi w:val="0"/>
        <w:spacing w:before="240" w:after="0"/>
        <w:jc w:val="left"/>
        <w:rPr>
          <w:rFonts w:ascii="Times New Roman" w:hAnsi="Times New Roman"/>
          <w:sz w:val="20"/>
        </w:rPr>
      </w:pPr>
      <w:r>
        <w:rPr>
          <w:rFonts w:ascii="Times New Roman" w:hAnsi="Times New Roman"/>
          <w:sz w:val="20"/>
        </w:rPr>
        <w:t xml:space="preserve">A failure of one or more preclinical or clinical trials can occur at any stage of the process. We will be required to demonstrate with substantial evidence through well-controlled clinical trials that our product candidates are safe and effective for use in a diverse patient population before we can seek regulatory approvals for their commercial sale. Our preclinical or clinical trials may produce negative or inconclusive results, and we may decide, or regulators may require us, to conduct additional and expansive preclinical or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Because these lead product candidates utilize the same proprietary Diffusphere delivery technology, a failure of one of our clinical trials may also increase the actual or perceived likelihood that our other product candidates will experience similar failures. If our ongoing or future clinical trials are inconclusive with respect to the safety and efficacy of our product candidates, or if we encounter safety concerns associated with our product candidates, we may incur unplanned costs and be delayed in or prevented from obtaining marketing approval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Positive or timely results from preclinical or early-stage trials do not ensure positive or timely results in future clinical trials or registrational clinical trials because product candidates in later-stage clinical trials may fail to demonstrate sufficient safety and efficacy to the satisfaction of the FDA and comparable foreign regulatory authorities, despite having progressed through preclinical studies or initial clinical trials.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lead product candidates may not be successful for their intended use. </w:t>
      </w:r>
    </w:p>
    <w:p>
      <w:pPr>
        <w:pStyle w:val="TextBody"/>
        <w:bidi w:val="0"/>
        <w:spacing w:before="120" w:after="0"/>
        <w:jc w:val="left"/>
        <w:rPr>
          <w:rFonts w:ascii="Times New Roman" w:hAnsi="Times New Roman"/>
          <w:sz w:val="20"/>
        </w:rPr>
      </w:pPr>
      <w:r>
        <w:rPr>
          <w:rFonts w:ascii="Times New Roman" w:hAnsi="Times New Roman"/>
          <w:sz w:val="20"/>
        </w:rPr>
        <w:t>EP-104GI is intended for the treatment of pain and inflammation in adult patients diagnosed with EoE, a chronic and incurable disease that leads to progressive fibrosis of the esophagus. EoE is characterized by inflammation and the accumulation of large numbers of eosinophils (a type of white blood cells) within the epithelial lining of the esophagus. The active pharmaceutical ingredient is an anti-inflammatory corticosteroid fluticasone propionate (“</w:t>
      </w:r>
      <w:r>
        <w:rPr>
          <w:rFonts w:ascii="Times New Roman" w:hAnsi="Times New Roman"/>
          <w:b/>
          <w:sz w:val="20"/>
        </w:rPr>
        <w:t>FP</w:t>
      </w:r>
      <w:r>
        <w:rPr>
          <w:rFonts w:ascii="Times New Roman" w:hAnsi="Times New Roman"/>
          <w:sz w:val="20"/>
        </w:rPr>
        <w:t xml:space="preserve">”) that reduces the pain associated with inflammation. </w:t>
      </w:r>
    </w:p>
    <w:p>
      <w:pPr>
        <w:pStyle w:val="TextBody"/>
        <w:bidi w:val="0"/>
        <w:spacing w:before="240" w:after="0"/>
        <w:jc w:val="left"/>
        <w:rPr>
          <w:rFonts w:ascii="Times New Roman" w:hAnsi="Times New Roman"/>
          <w:sz w:val="20"/>
        </w:rPr>
      </w:pPr>
      <w:r>
        <w:rPr>
          <w:rFonts w:ascii="Times New Roman" w:hAnsi="Times New Roman"/>
          <w:sz w:val="20"/>
        </w:rPr>
        <w:t xml:space="preserve">EP-104IAR is intended as a long-acting pain relief for OA knee pain. EP-104IAR has the same active pharmaceutical ingredient as EP-104GI. </w:t>
      </w:r>
    </w:p>
    <w:p>
      <w:pPr>
        <w:pStyle w:val="TextBody"/>
        <w:bidi w:val="0"/>
        <w:spacing w:before="240" w:after="0"/>
        <w:jc w:val="left"/>
        <w:rPr>
          <w:rFonts w:ascii="Times New Roman" w:hAnsi="Times New Roman"/>
          <w:sz w:val="20"/>
        </w:rPr>
      </w:pPr>
      <w:r>
        <w:rPr>
          <w:rFonts w:ascii="Times New Roman" w:hAnsi="Times New Roman"/>
          <w:sz w:val="20"/>
        </w:rPr>
        <w:t xml:space="preserve">Inflammation is not the only contributor to pain in EoE and knee pain, and EP-104GI and EP-104IAR may not provide sufficient pain relief for other sources of pain in EoE, such as damage of the esophagus, esophageal strictures and proliferation of fibrotic tissue, or for other sources of knee pain, such as bone-on-bone interactions. EP-104GI and EP-104IAR are the first FP-based product candidates intended to have an extended release profile to be tested in the esophagus and knee, respectively, and the effective doses have not been determined. To achieve regulatory approval in North America, EP-104GI and EP-104IAR must each show significant benefit over placebo. This is complicated by the “placebo effect” in pain-related trials, whereby patients perceive pain relief despite having received no active pharmaceutical. We have not received FDA approval for either lead product candidate and cannot be certain that our approach will lead to the development of an approvable or marketable product. We may not succeed in demonstrating safety and efficacy of EP-104GI or EP-104IAR in our ongoing clinical trials or in larger-scale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Advancing EP-104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demonstrating adequate safety and efficacy to support NDA approval and a sustained safety profile following any marketing approval of our product candidates, including providing sufficient non-clinical and clinical data to support an extended-release claim in our proposed labeling and sufficient data on systemic exposure and local toxicity to support repeat dosing in humans;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marketing approval, as the FDA, EMA, Health Canada or other regulatory authorities have never approved an FP-based product for EoE or OA knee pain;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EP-104 is approved in any indication, educating medical personnel regarding the potential benefits, as well as the challenges, of incorporating EP-104 into existing treatment regimens;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sales and marketing capabilities upon obtaining any marketing approvals to gain market acceptance.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and future product candidates will require regulatory approval, which is costly, and we may not be able to obtain it and we may fail to obtain regulatory approvals or only obtain approvals for limited uses or indications. </w:t>
      </w:r>
    </w:p>
    <w:p>
      <w:pPr>
        <w:pStyle w:val="TextBody"/>
        <w:bidi w:val="0"/>
        <w:spacing w:before="120" w:after="0"/>
        <w:jc w:val="left"/>
        <w:rPr>
          <w:rFonts w:ascii="Times New Roman" w:hAnsi="Times New Roman"/>
          <w:sz w:val="20"/>
        </w:rPr>
      </w:pPr>
      <w:r>
        <w:rPr>
          <w:rFonts w:ascii="Times New Roman" w:hAnsi="Times New Roman"/>
          <w:sz w:val="20"/>
        </w:rPr>
        <w:t xml:space="preserve">Marketing authorization of EP-104 for any indication and other product candidates will fall under the regulatory purview of the FDA and other equivalent regulatory bodies worldwide. We are not permitted to commercialize, market, promote or sell any product candidate in the United States without obtaining marketing approval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FDA. Foreign regulatory authorities impose similar requirements. The time required to obtain approval by the FDA, EMA, Health Canada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or change over time,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Health Canada and other comparable foreign regulatory authorities may approve our product candidates for a more limited indication, a narrower patient population than we originally requested or with a Risk Evaluation and Mitigation Strategy (“</w:t>
      </w:r>
      <w:r>
        <w:rPr>
          <w:rFonts w:ascii="Times New Roman" w:hAnsi="Times New Roman"/>
          <w:b/>
          <w:sz w:val="20"/>
        </w:rPr>
        <w:t>REMS</w:t>
      </w:r>
      <w:r>
        <w:rPr>
          <w:rFonts w:ascii="Times New Roman" w:hAnsi="Times New Roman"/>
          <w:sz w:val="20"/>
        </w:rPr>
        <w:t xml:space="preserve">”). Further,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development of our product candidates and/or regulatory approval may be delayed for reasons beyond our control. For example, a U.S. federal government shutdown or budget sequestration,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 Applications for 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the design, implementation or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determine that our product candidates are not safe and effective, only moderately effective or have undesirable or unintended adverse events, toxicities or other characteristics that preclude our obtaining marketing approval or prevent or limit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in the clinical trial may not be sufficiently broad or representative to assure efficacy and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FDA, EMA, Health Canada or other comparable foreign regulatory authorities that a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fail to approve the manufacturing processes, test procedures and specifications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EMA, Health Canada or other comparable foreign regulatory authorities may significantly change in a manner rendering our clinical data insufficient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clinical trials of our product candidates may not demonstrate safety and efficacy to the satisfaction of the FDA, EMA, Health Canada or other comparable foreign regulatory authorities or otherwise produce positive results.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the FDA, EMA, Health Canada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 For example, we completed an end of Phase 2 meeting with the FDA in January 2024 regarding EP- 104IAR. Based on our interactions with the FDA at that meeting, we believe that we have an understanding of the remaining non-clinical and clinical studies that would be needed to support a 505(b)(2) application for EP-104IAR, including the need to conduct additional animal studies to evaluate the potential for dose dumping and immediate release of fluticasone propionate, sufficient safety and efficacy data to support repeat dosing, and adequate data to bridge the systemic safety of Flovent HFA to EP-104IAR, among other recommendations and comments received from the FDA. However, we cannot be certain that we and any potential partner will be successful in completing these anticipated studies, or if the FDA or any other regulatory authority will determine the data we and any potential partner obtain from such studies and any data obtained from any previously conducted clinical or non-clinical studies are sufficient to support an approval or that such regulatory authorities will not require additional trials. We can provide no assurance that FDA will approve the indication we and any potential partner seek in the NDA, if at all. If FDA grants approval, depending on FDA’s interpretation of the data, FDA may impose labeling restrictions, reject the “extended release” claim in the labeling, restrict repeat dosing, or require additional safety monitoring or warnings. Ultimately, the FDA will need to conduct a full review of all studies submitted in support of approval and such studies may be unsatisfactory to the FDA. In addition, even if any of our product candidates receives FDA approval, any labeling restrictions that may be imposed by the FDA may materially and adversely impact our or any potential partner’s ability to successfully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rely in part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whether our future clinical trials will begin on time or enroll patients on time, or whether our ongoing and/or future clinical trials will be completed on schedule or at all. Clinical trials can be delayed for a variety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disagreeing as to the design or implementation of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regulatory authorizations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obtaining approval from one or more institutional review boards or research ethics board (“</w:t>
            </w:r>
            <w:r>
              <w:rPr>
                <w:rFonts w:ascii="Times New Roman" w:hAnsi="Times New Roman"/>
                <w:b/>
                <w:sz w:val="20"/>
              </w:rPr>
              <w:t>IRBs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IRBs refusing to approve, suspending or terminating the trial at an investigational site, precluding enrollment of additional subjects,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sufficient quantities of product candidate or obtaining sufficient quantities of combination therapies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failing to enroll or remain in our trial at the rate we expect, or failing to return for post- 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choosing an alternative treatment for the indication for which we are developing our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experiencing severe or unexpected drug-related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trials of the same class of agents conducted by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 points that require prolonged periods of clinical observation or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facility manufacturing our product candidates or any of their components being ordered by the FDA or comparable foreign regulatory authorities to temporarily or permanently shut down due to violations of current good manufacturing practice (“</w:t>
            </w:r>
            <w:r>
              <w:rPr>
                <w:rFonts w:ascii="Times New Roman" w:hAnsi="Times New Roman"/>
                <w:b/>
                <w:sz w:val="20"/>
              </w:rPr>
              <w:t>cGMP</w:t>
            </w:r>
            <w:r>
              <w:rPr>
                <w:rFonts w:ascii="Times New Roman" w:hAnsi="Times New Roman"/>
                <w:sz w:val="20"/>
              </w:rPr>
              <w:t xml:space="preserve">”), regulations or other applicable requirements, or infections or cross-contaminations of product candidates in the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our manufacturing process that may be necessary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third-party clinical investigators losing the licenses or permits necessary to perform our clinical trials, not performing our clinical trials on our anticipated schedule or consistent with the clinical trial protocol, good clinical practices (“</w:t>
            </w:r>
            <w:r>
              <w:rPr>
                <w:rFonts w:ascii="Times New Roman" w:hAnsi="Times New Roman"/>
                <w:b/>
                <w:sz w:val="20"/>
              </w:rPr>
              <w:t>GCPs</w:t>
            </w:r>
            <w:r>
              <w:rPr>
                <w:rFonts w:ascii="Times New Roman" w:hAnsi="Times New Roman"/>
                <w:sz w:val="20"/>
              </w:rPr>
              <w:t xml:space="preserve">”) or other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not performing data collection or analysis in a timely or accurate manner;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events,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if approved,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product manufacturing. The field of manufacturers capable of manufacturing the EP-104 API powder is narrow and not easily replaced. Although we depend heavily on these parties, we do not control them and, therefore, cannot be assured that these third parties will adequately perform all of their contractual obligations to us. If our third-party service providers cannot adequately fulfill their obligations to us in a timely and satisfactory basis, development plans may be delayed or terminated.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or termination of production or deliveries by suppliers, or the raising of prices or renegotiation of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or nonrenewal of arrangements or agreements by our third-party contractors at a time that is costly or inconvenient for us due to any number of reasons including staffing issues, change in strategy, or concerns around manufacture of our drug substance due to perceived or actual safety concerns;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breach by the third-party contractors of our agreements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third-party contractors to comply with applicable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mislabeling of clinical supplies, potentially resulting in the wrong dose amounts being supplied or active drug or placebo not being properly identified;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supplies not being delivered to clinical sites on time, leading to clinical trial interruptions, or of drug supplies not being distributed to commercial vendors in a timely manner, resulting in lost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misappropriation of our proprietary information, including our trade secrets and know-how.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internationally. If our contract manufacturers cannot successfully manufacture material that conforms to our specifications and the strict regulatory requirements of the FDA, EMA, Health Canada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Health Canada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products for which we receive approval may adversely affect our future profit margins and our ability to commercialize any product candidates that receive marketing approval on a timely and competitive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engages with contractors, including CROs, for various aspects of the Company’s non-clinical studies and clinical trials, including trial conduct, data management, study management and managing, statistical analysis and electronic compilation of the Company’s regulatory submissions. The Company may enter into agreements with CROs to obtain resources and expertise in an attempt to accelerate the Company’s progress on new or ongoing clinical and non-clinical programs. Typically entering into relationships with CROs involves substantial cost and requires extensive management time and focus. In addition, typically there is a transition period between engagement of a CRO and the time the CRO commences work. As a result, delays may occur, which may materially impact the Company’s ability to meet desired non-clinical and clinical development timelines and ultimately have a material adverse effect on the Company’s operating results, financial condition or future prospects. </w:t>
      </w:r>
    </w:p>
    <w:p>
      <w:pPr>
        <w:pStyle w:val="TextBody"/>
        <w:bidi w:val="0"/>
        <w:spacing w:before="240" w:after="0"/>
        <w:jc w:val="left"/>
        <w:rPr>
          <w:rFonts w:ascii="Times New Roman" w:hAnsi="Times New Roman"/>
          <w:sz w:val="20"/>
        </w:rPr>
      </w:pPr>
      <w:r>
        <w:rPr>
          <w:rFonts w:ascii="Times New Roman" w:hAnsi="Times New Roman"/>
          <w:sz w:val="20"/>
        </w:rPr>
        <w:t>As CROs are not the Company’s employees, the Company cannot control whether or not they devote sufficient time and resources to the Company’s clinical trials for which they are engaged to perform, and whether they comply with the applicable GCPs and Good Laboratory Practices (“</w:t>
      </w:r>
      <w:r>
        <w:rPr>
          <w:rFonts w:ascii="Times New Roman" w:hAnsi="Times New Roman"/>
          <w:b/>
          <w:sz w:val="20"/>
        </w:rPr>
        <w:t>GLPs</w:t>
      </w:r>
      <w:r>
        <w:rPr>
          <w:rFonts w:ascii="Times New Roman" w:hAnsi="Times New Roman"/>
          <w:sz w:val="20"/>
        </w:rPr>
        <w:t xml:space="preserve">”) for the Company’s product candidates, which include requirements related to the conduct of the study, subject informed consent,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ethics board’s approval among others. Regulatory authorities, including the FDA, monitor compliance with Good Manufacturing Practices, GLPs, and GCPs (collectively, “</w:t>
      </w:r>
      <w:r>
        <w:rPr>
          <w:rFonts w:ascii="Times New Roman" w:hAnsi="Times New Roman"/>
          <w:b/>
          <w:sz w:val="20"/>
        </w:rPr>
        <w:t>GxPs</w:t>
      </w:r>
      <w:r>
        <w:rPr>
          <w:rFonts w:ascii="Times New Roman" w:hAnsi="Times New Roman"/>
          <w:sz w:val="20"/>
        </w:rPr>
        <w:t xml:space="preserve">”) through periodic inspections of trial sponsors, principal investigators and trial sites. Although the Company may rely on third parties for the execution of the Company’s clinical trials and non-clinical research, the Company is nevertheless responsible for ensuring that each of the Company’s studies is conducted in accordance with the applicable protocol, legal, regulatory and scientific standards and the Company’s reliance on CROs does not relieve the Company of the Company’s regulatory responsibilities. If the Company or any of the Company’s CROs deviate from the approval protocols, make errors during the conduct of studies, or fail to comply with applicable GCPs and GLPs, the data generated in the Company’s studies may be deemed unreliable and the applicable regulatory authorities may take regulatory action against the Company and/or require the Company to perform additional studies before approving the Company’s marketing applications. The Company cannot assure you that, upon inspection by a given regulatory authority, such regulatory authority will determine that any of the Company’s clinical trials complies with GCP regulations. In addition, the Company’s clinical trials must be conducted with product candidate materials produced under GMP regulations. the Company’s failure to comply with these regulations may require the Company to discontinue or repeat clinical trials, which would delay the regulatory approval process. If the CROs that the Company engages do not successfully carry out their contractual duties or obligations, conduct the studies in accordance with all regulatory requirements, or meet expected deadlines, or if they need to be replaced, or the quality or accuracy of the data they provide is compromised due to the failure to adhere to regulatory requirements or for other reasons, then the Company’s development programs may be extended, delayed or terminated, or the Company may not be able to obtain marketing approval for or successfully commercialize the Company’s product candidates. Failure to comply with clinical trial regulatory requirements may further subject the Company to significant penalties potentially including imprisonment or an injunction against manufacture or distribution and debarment.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Manufacturing drugs, especially in large quantities, is complex and may require the use of innovative technologies. Each lot of an approved drug product must undergo thorough testing for identity, strength, quality, purity, potency, and stability.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including exposure to liabilities arising from any GxP non-compliance. If our manufacturers and suppliers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Our clinical product candidates, along with product candidates we expect to enter clinical development, are in varying stages of development and will require substantial clinical development, testing and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prior to commercialization. Before obtaining regulatory approvals for the commercial sale of our product candidates, we must demonstrate through lengthy, complex and expensive pre-clinical testing and clinical trials that each product candidate is both safe and effective for use in each target indication. Failure can occur at any time during the clinical trial process. Clinical trials often fail to demonstrate safety and efficacy of the product candidate studied for the target indication. Most product candidates that commence clinical trials are never approved as products. A number of companies in the pharmaceutical industry have suffered significant setbacks in advanced clinical trials due to lack of efficacy or adverse safety profiles, notwithstanding promising results in earlier trials.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other treatments and may be using other approved products or investigational new drugs, which can cause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While recent data obtained from our clinical studies of EP-104GI and EP-104IAR is encouraging, we cannot be certain that ongoing and future trials will not suffer setbacks, including for lack of efficacy and/or adverse safety profiles, or that previously conducted clinical and non-clinical studies will be deemed adequate for purposes of regulatory approval. For additional information regarding our recent study results, please see the section of our Annual Information Form titled “</w:t>
      </w:r>
      <w:r>
        <w:rPr>
          <w:rFonts w:ascii="Times New Roman" w:hAnsi="Times New Roman"/>
          <w:i/>
          <w:sz w:val="20"/>
        </w:rPr>
        <w:t>Description of the Business –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safety and efficacy trials of any product candidate, clinical trial failures may result from a multitude of factors including flaws in trial design, dose selection, statistical analysis plan, placebo effect, patient enrollment criteria, patient compliance and trial execution. Data obtained from trials and studies are susceptible to varying interpretations, and regulators may not interpret our data as favorably as we do, which may delay, limit or prevent regulatory approval. Failure of a clinical trial due to any of these reasons could materially harm our business and the market price of our Common Shares. In the case of some of our product candidates, we may seek to develop treatments for certain diseases or disorders for which there is relatively limited clinical experience, and clinical trials may use novel endpoints and measurement methodologies or subjective patient feedback, which adds a layer of complexity to these clinical trials and may delay regulatory approval. Negative or inconclusive results from our clinical trials could lead to a decision or requirement to conduct additional pre-clinical testing or clinical trials or result in a decision to terminate the continued development of a product candidate. Any of the foregoing outcomes would materially and adversely impact our business, product candidate pipeline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not shown to be both safe and effective in clinical trials, such product candidates will be unable to obtain regulatory approval or be successfully commercialized. In addition, our failure to demonstrate positive results in clinical trials in any indication for which we are developing clinical product candidates could adversely affect development efforts in other indications.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Preclinical and clinical data are often susceptible to varying interpretations and analyses and many companies that believed their product candidates performed satisfactorily in preclinical studies and clinical trials nonetheless failed to obtain FDA, EMA, Health Canada or comparable foreign regulatory authority approval. We cannot guarantee that the FDA or foreign regulatory authorities will interpret trial results as we do, and more trials could be required before we are able to submit applications seeking approval of our product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Health Canada or comparable foreign regulatory authorities may significantly change in a manner rendering our clinical data insufficient for approval, which may lead to the FDA, EMA, Health Canada or comparable foreign regulatory authorities delaying, limiting or denying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pharmaceuticals generally, it is likely that there may be adverse events associated with our product candidates’ use. Results of our clinical trials could reveal a high and unacceptable severity and prevalence of adverse events or unexpected characteristics. Undesirable adverse events associated with use of our product candidates could cause us or regulatory authorities to interrupt, delay or halt clinical trials and could result in a more restrictive label or the delay or denial of regulatory approval by the FDA or comparable foreign regulatory authorities. The treatment- emergent adverse events could affect patient recruitment or the 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enrolled patients to complete the trial or result in potential product liability claims.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associated with undesirable adverse events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Patients in our ongoing and planned clinical trials may in the future suffer significant adverse events or other adverse events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other medical procedures or treatments, which can cause adverse events that are unrelated to our product candidate, but may still impact the success of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If significant adverse events or other adverse events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Health Canada, other comparable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 stage trials have later been found to cause adverse events that prevented their further development. Even if the adverse events do not preclude the product candidate from obtaining or maintaining marketing approval, undesirable adverse events may inhibit market acceptance due to its tolerability versus other therapies. Any of these developments could materially harm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comparable foreign regulatory authority approval sooner or at all. </w:t>
      </w:r>
    </w:p>
    <w:p>
      <w:pPr>
        <w:pStyle w:val="TextBody"/>
        <w:bidi w:val="0"/>
        <w:spacing w:before="120" w:after="0"/>
        <w:jc w:val="left"/>
        <w:rPr>
          <w:rFonts w:ascii="Times New Roman" w:hAnsi="Times New Roman"/>
          <w:sz w:val="20"/>
        </w:rPr>
      </w:pPr>
      <w:r>
        <w:rPr>
          <w:rFonts w:ascii="Times New Roman" w:hAnsi="Times New Roman"/>
          <w:sz w:val="20"/>
        </w:rPr>
        <w:t xml:space="preserve">Where possible, we may pursue accelerated development strategies in areas of high unmet need for one or more of our product candidates. In June 2023, we announced that the FDA granted Fast Track designation for EP-104IAR for the treatment of OA. 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 </w:t>
      </w:r>
    </w:p>
    <w:p>
      <w:pPr>
        <w:pStyle w:val="TextBody"/>
        <w:bidi w:val="0"/>
        <w:spacing w:before="240" w:after="0"/>
        <w:jc w:val="left"/>
        <w:rPr>
          <w:rFonts w:ascii="Times New Roman" w:hAnsi="Times New Roman"/>
          <w:sz w:val="20"/>
        </w:rPr>
      </w:pPr>
      <w:r>
        <w:rPr>
          <w:rFonts w:ascii="Times New Roman" w:hAnsi="Times New Roman"/>
          <w:sz w:val="20"/>
        </w:rPr>
        <w:t xml:space="preserve">Under the Orphan Drug Act of 1983, the FDA may designate a product as an orphan drug if it is a drug intended to treat a rare disease or condition, which is generally defined as a patient population of fewer than 200,000 individuals annually in the United States. Orphan drug designation neither shortens the development time or regulatory review time of a drug nor gives the drug any advantage in the regulatory review or approval process. If a product that has orphan drug designation from the FDA subsequently receives the first FDA approval for an indication within the orphan disease, the product is entitled to orphan product exclusivity, which means that the FDA may not approve any other applications to market the same drug for the same indication, for seven years, except in limited circumstances such as a showing of clinical superiority to the product with the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Even if we or our collaborators obtain orphan designation for a product candidate, we may not be the first to obtain marketing approval for any particular orphan indication due to the uncertainties associated with developing pharmaceutical products. The scope of exclusivity is limited to the scope of any approved indication, even if the scope of the orphan designation is broader than the approved indication. Additionally, exclusive marketing rights may be limited if we or our collaborators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Further, even if a product obtains orphan drug exclusivity, that exclusivity may not effectively protect the product from competition because different drugs with different active moieties can be approved for the same condition. Even after an orphan drug is approved, the FDA can subsequently approve a product with the same active moiety for the same condition if the FDA concludes that the later product is safer, more effective, or makes a major contribution to patient care. Furthermore, the FDA can waive orphan exclusivity if we or our collaborators are unable to manufacture sufficient supply of the product. If we or our collaborators do not receive or maintain orphan drug designation to product candidates for which we seek such designation, it could limit our ability to realize revenues from such product candidates. Further, in view of the court decision in </w:t>
      </w:r>
      <w:r>
        <w:rPr>
          <w:rFonts w:ascii="Times New Roman" w:hAnsi="Times New Roman"/>
          <w:i/>
          <w:sz w:val="20"/>
        </w:rPr>
        <w:t>Catalyst Pharms., Inc. v. Becerra</w:t>
      </w:r>
      <w:r>
        <w:rPr>
          <w:rFonts w:ascii="Times New Roman" w:hAnsi="Times New Roman"/>
          <w:sz w:val="20"/>
        </w:rPr>
        <w:t xml:space="preserve">, 14 F.4th 1299 (11th Cir. 2021), the FDA published a notice in the Federal Register in January 2023 to clarify that while the agency complies with the court’s order in </w:t>
      </w:r>
      <w:r>
        <w:rPr>
          <w:rFonts w:ascii="Times New Roman" w:hAnsi="Times New Roman"/>
          <w:i/>
          <w:sz w:val="20"/>
        </w:rPr>
        <w:t>Catalyst</w:t>
      </w:r>
      <w:r>
        <w:rPr>
          <w:rFonts w:ascii="Times New Roman" w:hAnsi="Times New Roman"/>
          <w:sz w:val="20"/>
        </w:rPr>
        <w:t xml:space="preserve">, FDA intends to continue to apply its longstanding interpretation of the regulations to matters outside of the scope of the </w:t>
      </w:r>
      <w:r>
        <w:rPr>
          <w:rFonts w:ascii="Times New Roman" w:hAnsi="Times New Roman"/>
          <w:i/>
          <w:sz w:val="20"/>
        </w:rPr>
        <w:t>Catalyst</w:t>
      </w:r>
      <w:r>
        <w:rPr>
          <w:rFonts w:ascii="Times New Roman" w:hAnsi="Times New Roman"/>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establish sales and marketing capabilities or enter into agreements with third parties to market and sell our drug candidates, if approved, we may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EP-104, in any indication, if approved, or any future product candidate that may result from our development programs, we will need to build out our sales and marketing capabilities, either on our own or with others. The establishment and development of our own commercial team or the establishment of a contract field force to market any product candidate we may develop will be expensive and time-consuming and could delay any drug launch. Moreover, we cannot be certain that we will be able to successfully develop this capability. We may seek to enter into collaborations with other entities to use their established marketing and distribution capabilities, but we may be unable to enter into such agreements on favorable terms, if at all.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or future collaborators do not commit sufficient resources to commercialize our product candidates, or we are unable to develop the necessary capabilities on our own, we may be unable to generate sufficient revenue to sustain our business. We may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any future product candidates. Without an internal team or the support of a third party to perform marketing and sales functions, we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novel technology with uncertain market acceptance if any of our product candidates are approved. </w:t>
      </w:r>
    </w:p>
    <w:p>
      <w:pPr>
        <w:pStyle w:val="TextBody"/>
        <w:bidi w:val="0"/>
        <w:spacing w:before="120" w:after="0"/>
        <w:jc w:val="left"/>
        <w:rPr>
          <w:rFonts w:ascii="Times New Roman" w:hAnsi="Times New Roman"/>
          <w:sz w:val="20"/>
        </w:rPr>
      </w:pPr>
      <w:r>
        <w:rPr>
          <w:rFonts w:ascii="Times New Roman" w:hAnsi="Times New Roman"/>
          <w:sz w:val="20"/>
        </w:rPr>
        <w:t xml:space="preserve">Even if any of our product candidates receive regulatory approval, the approved products may not achieve broad market acceptance among physicians, patients, the medical community and third-party payors, in which case revenue generated from their sales would be limited. Our delivery platform is at an early stage of development and uses novel technology, with uncertain market acceptance if our product candidates are approved. Product approval, should this be achieved, does not infer that the product will garner a good market price or be reimbursed by public or private insurers. Further, there are no guarantees that the product will be positively received by the target patient population. If any of our product candidates is approved but does not achieve an adequate level of acceptance by physicians, healthcare payors and patients, we may not generate or derive sufficient revenue from that product candidate and our financial results could be negatively impacted. The degree of market acceptance of any of our approved product candidates will depend on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use of our product candidates, such as boxed warnings or contraindications in labeling, or a REMS,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as well as pricing, by third-party payors, including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preparation and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our products or product candidates or similar approved products or product candidates in development by third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other new therapies for the same indications.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delays or difficulties in the enrollment and/or maintenance of patients in clinical trials, our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Patient enrollment is a significant factor in the timing of clinical trials, and the timing of our clinical trials depends, in part, on the speed at which we can recruit patients to participate in our trials, as well as completion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follow-up periods. We may not be able to initiate or continue clinical trials for our product candidates if we are unable to locate and enroll a sufficient number of eligible patients to participate in these trials to such trial’s conclusion as required by the FDA, EMA, Health Canada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potency of approved drugs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eligibility criteria for the trial in question as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prospective patients by clinical trial sites;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completion.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EMA, Health Canada and other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may choose to conduct international clinical trials in the future. The acceptance of study data by the FDA, EMA, Health Canada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 Additionally, the FDA’s clinical trial requirements, including the adequacy of the patient population studied and statistical powering, must be met. In addition, such foreign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subject to the applicable local laws of the foreign jurisdictions where the trials are conducted. There can be no assurance that the FDA, EMA, Health Canada or any applicable foreign regulatory authority will accept data from trials conducted outside of its applicable jurisdiction. If the FDA, EMA, Health Canada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EMA or Health Canada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or other regulation.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opportunity for any product candidate that we or our strategic partners develop is smaller than we believe, our revenue may be adversely affected and our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initially focus our product candidate development on treatments for EoE and OA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EoE or OA. Additionally, the potentially addressable patient population for our product candidates may not ultimately be amenable to treatment with our product candidates. FDA, EMA, Health Canada or other regulatory agencies may also limit our proposed indication or target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our product candidates receive regulatory approval, we will be subject to significant post marketing regulatory requirements and oversight.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failure to comply with FDA, EMA, Health Canada and other comparable foreign regulatory requirements may subject our company to administrative or judicially imposed sanctions,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the rejection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products, manufacturers or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or untitled letters or Form 483s;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and criminal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seizures, detentions or import bans;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voluntary or mandatory product recalls and publicity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or partial suspension of production;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restrictions on operations, including costly new manufacturing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our ability to commercialize our product candidates, if approved, and generate revenue and could require us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FDA’s and other regulatory authorities’ policies may change, and additional government regulations may be enacted that could prevent, limit or delay regulatory approval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If government regulation arises that puts constraints on FDA’s or other regulatory authorities’ ability to exercise their respective regulatory authority, including engaging in oversight and implementation activities in the normal course, our business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how current and future legislation, executive actions, and litigation, including the executive orders issued by the current U.S. presidential administration, will be implemented, and the extent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they will impact our business, our clinical development, and the FDA’s and other agencies’ ability to exercise their regulatory authority, including FDA’s pre-approval inspections and timely review of any regulatory filings or applications we submit to the FDA. In addition, the Supreme Court’s overturning of the Chevron doctrine, which gave deference to regulatory agencies in litigation against FDA and other agencies, may result in more companies bringing lawsuits against FDA to challenge longstanding decisions and policies of FDA, which could undermine FDA’s authority, lead to uncertainties in the industry, and disrupt FDA’s normal operations, which could delay FDA’s review of our marketing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consider submitting an application for a Commissioner’s National Priority Voucher (“CNPV”) from the FDA but there can be no assurance that we will receive a voucher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FDA announced the CNPV pilot program which was designed to accelerate the development and review of certain drugs and biologics that are aligned with U.S. national health priorities, such as addressing a U.S. public health crisis, developing more innovative cures for the American people, addressing a large unmet medical need, onshoring drug development and manufacturing to advance the health interests of Americans and strengthen U.S. supply chain resiliency, and increasing affordability. The FDA has stated that voucher recipients will receive a decision with respect to an application on an accelerated basis, as well as enhanced communication with review staff throughout the review process. The FDA expects the CNPV program to accelerate the application review timeline from 10-12 months to 1-2 months by convening a multidisciplinary team of physicians and scientists for a team-based review, interacting frequently with the sponsor of the application to clarify questions, and completing review of the application concurrently. The FDA retains full discretion to extend the review window if the data or application components submitted are insufficient or incomplete, if the results of the pivotal trial(s) are ambiguous, or if the review is particularly complex. The FDA has indicated that the CNPV program does not change the FDA’s rigorous safety and efficacy standards for review and approval. In late 2025, FDA began issuing approvals for drugs with CNPVs within the 1-2 month review timeframe. To date, FDA has approved seven drugs under the program. The CNPV program is new, limited in scope, and subject to evolving guidance, and available FDA resources. The FDA retains broad discretion to modify the criteria, processes, or benefits of the program and may rescind participation or alter timelines or the intended benefits at any time. Adding to the uncertainty, concerns have been raised regarding the legality of the CNPV program.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receive a voucher if we submit an application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promotion that is not consistent with product labeling and failure to comply with these laws and other laws relating to promotion could subject us to enforcement action. </w:t>
      </w:r>
    </w:p>
    <w:p>
      <w:pPr>
        <w:pStyle w:val="TextBody"/>
        <w:bidi w:val="0"/>
        <w:spacing w:before="120" w:after="0"/>
        <w:jc w:val="left"/>
        <w:rPr>
          <w:rFonts w:ascii="Times New Roman" w:hAnsi="Times New Roman"/>
          <w:sz w:val="20"/>
        </w:rPr>
      </w:pPr>
      <w:r>
        <w:rPr>
          <w:rFonts w:ascii="Times New Roman" w:hAnsi="Times New Roman"/>
          <w:sz w:val="20"/>
        </w:rPr>
        <w:t xml:space="preserve">The promotion of pharmaceutical products is strictly regulated in in the United States and in other jurisdictions. If any of our product candidates are approved and we are found to have improperly promoted off-label uses of those products or otherwise promoted products contrary to applicable laws, we may become subject to significant liability. The FDA and other regulatory agencies strictly regulate the promotional claims that may be made about prescription products, such as our product candidates, if approved. In particular, all promotion must be consistent with product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become subject to significant liability, which would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government agencies caused by actions by the current U.S. presidential administration or by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including action by the current U.S. presidential administration or by legislative or judicial action, reductions in force, government shutdowns, funding shortages, or global health concerns.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through reductions in force, may slow the time necessary to meet with and receive agency feedback, review and/or approve submissions, conduct inspections, issue regulatory guidance, or take other actions that facilitate the development, approval and marketing of new drugs, which would adversely affect our business. With significant reductions in force, the FDA may not be able to meet its application review goals or to continue to be available for timely interactions with drug developers. Moreover, changes in FDA’s policies or regulations, whether as a result of personnel and budgetary constraints, changes in leadership or otherwise, could adversely impact the development of our product candidates and, ultimately, our ability to receive marketing authorization. Decisions about the development of product candidates are often based on interactions with FDA and regulatory guidance provided by the agency following such interactions. If FDA does not agree with our decisions resulting from such interactions and guidance or there are subsequent policy changes, review and approval of our product candidates may be delayed or not occur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key personnel.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success depends in large measure on certain key personnel, including our executive officers. The loss of the services of such key personnel could have a material adverse effect on the Company. The contributions of these individuals to the Company’s immediate operations are likely to be of central importance. In addition, the competition for qualified personnel in the biotech industry is intense and there can be no assurance that the Company will be able to continue to attract and retain all personnel necessary for the development and operation of the Company’s business. Investors must rely upon the ability, expertise, judgment, discretion, integrity and good faith of the Company’s management. Other biotechnology companies with which the Company competes for qualified personnel have greater financial and other resources, different risk profiles and a longer history in the industry than the Company does. They also may provide more diverse opportunities and better chances for career advancement. Some of these characteristics may be more appealing to high-quality candidates than those that the Company has to offer. If the Company is unable to continue to attract and retain high-quality personnel, the rate of and success with which the Company can develop and commercialize product candidates would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As a technology-driven company, intellectual input from key management and personnel is critical to achieve our business objectives. Consequently, our ability to retain these individuals and attract other qualified individuals is critical to our success. The loss of the services of key individuals might significantly delay or prevent achievement of our business objectives. In addition, because of a relative scarcity of individuals with the high degree of education and scientific achievement required for our business, competition among biotech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qualified employees is intense, and as a result we may not be able to attract and retain such individuals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also have relationships with scientific collaborators at academic and other institutions, some of whom conduct research at our request or assist us in formulating our research and development strategies. These scientific collaborators are not our employees and may have commitments to, or consulting or advisory contracts with, other entities that may limit their availability to us. In addition, even though our collaborators are required to sign confidentiality agreements prior to working with us, they may have arrangements with other companies to assist such other companies in developing technologies that may prove competitive to us. </w:t>
      </w:r>
    </w:p>
    <w:p>
      <w:pPr>
        <w:pStyle w:val="TextBody"/>
        <w:bidi w:val="0"/>
        <w:spacing w:before="240" w:after="0"/>
        <w:jc w:val="left"/>
        <w:rPr>
          <w:rFonts w:ascii="Times New Roman" w:hAnsi="Times New Roman"/>
          <w:sz w:val="20"/>
        </w:rPr>
      </w:pPr>
      <w:r>
        <w:rPr>
          <w:rFonts w:ascii="Times New Roman" w:hAnsi="Times New Roman"/>
          <w:sz w:val="20"/>
        </w:rPr>
        <w:t xml:space="preserve">Incentive provisions for our key executives include the granting of stock options that vest over time, designed to encourage such individuals to stay with us. However, a low share price could render such agreements of little value to our key executives. In such event, our key executives could be susceptible to being hired away by our competitors who could offer a better compensation package. If we are unable to attract and retain key personnel our business, financial conditions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execute 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The execution of our business strategy poses many challenges and is based on several assumptions. If we experience significant regulatory delays, supply chain disruptions, cost overruns on our programs, or if our business plan is more costly than we anticipate, certain research and development activities may be delayed or eliminated, resulting in changes or delays to our commercialization plans, or we may be compelled to secure additional funding (which may or may not be available) to execute our business strategy. We cannot predict with certainty our future revenues or results from our operations. If the assumptions on which our revenue or expenditure forecasts are based change, the benefits of our business strategy may change as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in a highly competitive industry which is continuously evolving with technological changes.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engaged in an industry that is highly competitive, evolving and characterized by technological change. As a result, it is difficult for it to predict whether, when and by whom new competing technologies or new competitors may enter the market. The Company faces competition from companies with strong positions in certain markets it is currently targeting, and in new markets and regions it may enter. Some of these companies have significantly greater financial, technical, human, research and development, and marketing resources than the Company. The Company cannot assure you that it will be able to compete effectively against current and future competitors who may discover and develop products in advance of the Company that are more effective than those developed by the Company. As a consequence, the Company’s current and future technologies may become obsolete or uncompetitive, resulting in adverse effects on revenue, margins and profitability. In addition, competition or other competitive pressures may result in price reductions, reduced margins or loss of market share, any of which could have a material adverse effect on the Company’s business, financial condition or results of operations. To the extent that new or improved oral or other systemically administered pain medications are introduced that demonstrate better long-term efficacy and safety, patients and physicians may further delay the introduction of injectable therapies, such as EP-104, in the treatment for any indication we pursue. EP-104 could also face competition from other formulations or devices that deliver pain medication on an extended basis, such as transdermal delivery systems or implantable devices.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Company’s competitors have substantially greater financial, technical and other resources, such as larger research and development staffs and experienced commercial and manufacturing organizations. Mergers and acquisitions in the biotechnology and pharmaceutical industries may result in even more resources being concentrated in the Company’s competitors. As a result, these companies may obtain regulatory approval more rapidly than the Company is able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 applicability of technologies and greater availability of capital for investment in these industries. Competitors may succeed in developing, acquiring or licensing on an exclusive basis drug products or drug delivery technologies that are more effective or less costly than EP-104 for any of the Company’s intended applications, or any other product candidate that the Company is currently developing or may develop.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its ability to compete effectively depends upon many factors both within and beyond the Company’s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usefulness, ease of use, performance and reliability of the Company’s technology compared to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activity, tolerability, and potential benefits of EP-104 and the Company’s other product candidates, including relative to marketed products and product candidates in development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distinguish safety and efficacy from existing, alternative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for product candidates to complete clinical development and receive market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EP-104 and any of the Company’s other product candidates that receive regulatory approval by patients, physicians and other health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monetize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selection of licensing partners for its technology with the necessary skills and resources to drive uptake;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marketing and selling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a good relationship with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Company’s future products, including in comparison to branded or generic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coverage and adequate levels of reimbursement are available under private and governmental health insurance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or consolidations within the Company’s industry, which may result in more formidable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protect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attract, retain and motivate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cost-effectively manage and grow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reputation and brand strength relative to that of its competitors.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will depend on our ability to continually enhance and develop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There is a broad pipeline of potential new therapies for pain. The market for pain management and treatment solutions is characterized by rapid technological change and the possibility of frequent new product introductions. Accordingly, the Company’s future success depends upon its ability to enhance its current product candidates and to develop, introduce and sell the most accurate products at competitive prices. The development of new technologies and products involves time, substantial costs and risks. The Company’s ability to successfully develop new technologies depends in large measure on its ability to maintain a technically skilled research and development staff and to adapt to technological changes and advances in the industry.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new product introductions depends on a number of factors including the efficacy and safety as demonstrated in clinical trials, the ability to demonstrate the impact of real world evidence, timely and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development, the timing and market introduction of competitive products, market acceptance, the effective management of purchase commitments and inventory levels in line with anticipated product demand, the availability of pharmaceutical components in appropriate quantities and costs to meet anticipated demand, the risk that new products may have quality or other defects in the early stages of introduction and the Company’s ability to manage distribution and production issues related to new product introductions, the clinical indications for which the product is approved, acceptance by physicians, the medical community and patients of the product as a safe and effective treatment, the ability to distinguish safety and efficacy from existing, less expensive alternative therapies, the convenience of prescribing, administrating and initiating patients on the product, the potential and perceived advantages and/or value of the product over alternative treatments, the cost of treatment in relation to alternative treatments, including any similar generic treatments, the availability of coverage and adequate reimbursement by third-party payors and government authorities to support the product’s pricing, the prevalence and severity of adverse events and the effectiveness of sales and marketing efforts.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unable, for any reason, to enhance, develop, introduce and sell new products in a timely manner, or at all, in response to changing market conditions or customer requirements or otherwise, its business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successfully advances any other product candidates into clinical development, their success will be subject to all of the clinical, regulatory and commercial risks described elsewhere in this “Risk Factors” section. Accordingly, the Company cannot assure you that it will ever be able to discover, develop, obtain regulatory approval of, commercialize or generate significant revenue from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or a greater likelihood of success. We are currently evaluating funding alternatives for the continued development of EP-104IAR, including potential partnership opportunities. As a result, we intend to use capital resources previously identified for EP-104IAR development to continue development of EP-104GI. We cannot be certain that our decision to prioritize development of EP-104GI over EP-104IAR will be beneficial to our shareholders.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differentiate EP-104 from existing therapies, or if the FDA or other applicable regulatory authorities approve additional, and potentially less costly, therapies that compete with EP-104, our ability to successfully commercialize EP-104GI or EP-104IAR would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opportunities could be reduced or eliminated if existing or future therapies for EoE, OA or any other indication we may pursue are safer, more effective, have fewer or less severe adverse events, are more convenient or are less expensive than EP-104. The key competitive factors affecting the success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240" w:after="0"/>
        <w:jc w:val="left"/>
        <w:rPr>
          <w:rFonts w:ascii="Times New Roman" w:hAnsi="Times New Roman"/>
          <w:sz w:val="20"/>
        </w:rPr>
      </w:pPr>
      <w:r>
        <w:rPr>
          <w:rFonts w:ascii="Times New Roman" w:hAnsi="Times New Roman"/>
          <w:sz w:val="20"/>
        </w:rPr>
        <w:t>The current intra-articular standard of care for OA pain, immediate-release triamcinolone acetonide (“</w:t>
      </w:r>
      <w:r>
        <w:rPr>
          <w:rFonts w:ascii="Times New Roman" w:hAnsi="Times New Roman"/>
          <w:b/>
          <w:sz w:val="20"/>
        </w:rPr>
        <w:t>TCA</w:t>
      </w:r>
      <w:r>
        <w:rPr>
          <w:rFonts w:ascii="Times New Roman" w:hAnsi="Times New Roman"/>
          <w:sz w:val="20"/>
        </w:rPr>
        <w:t xml:space="preserve">”) and other injectable immediate-release steroids, are available in generic form and are therefore relatively inexpensive compared to the potential pricing for EP-104IAR. Although we believe our Phase 2 study provides preliminary evidence of extended pain relief, it is possible that we and any potential partner will receive data from additional clinical trials or in a post marketing setting from physician and patient experiences with the commercial product that does not continue to support such interpretations. It is also possible that the FDA, physicians and healthcare payors will not agree with our and any potential partner’s interpretation of existing and future clinical trial data. If we and any potential partner are unable to demonstrate the value of EP-104IAR based on clinical data, patient experience, as well as real world evidence, the opportunity for EP-104IAR to obtain premium pricing and be commercialized successfully would be adversely affected. </w:t>
      </w:r>
    </w:p>
    <w:p>
      <w:pPr>
        <w:pStyle w:val="TextBody"/>
        <w:bidi w:val="0"/>
        <w:spacing w:before="240" w:after="0"/>
        <w:jc w:val="left"/>
        <w:rPr>
          <w:rFonts w:ascii="Times New Roman" w:hAnsi="Times New Roman"/>
          <w:sz w:val="20"/>
        </w:rPr>
      </w:pPr>
      <w:r>
        <w:rPr>
          <w:rFonts w:ascii="Times New Roman" w:hAnsi="Times New Roman"/>
          <w:sz w:val="20"/>
        </w:rPr>
        <w:t>In addition to existing treatments, the FDA or other applicable regulatory authorities may approve other generic products that could compete with EP-104 if we cannot adequately protect it with our patent portfolio. For example, in the United States, once an NDA, including a Section 505(b)(2) application, is approved, the product covered thereby becomes a “listed drug” which can, in turn, be cited by potential competitors in support of approval of an abbreviated new drug application (“</w:t>
      </w:r>
      <w:r>
        <w:rPr>
          <w:rFonts w:ascii="Times New Roman" w:hAnsi="Times New Roman"/>
          <w:b/>
          <w:sz w:val="20"/>
        </w:rPr>
        <w:t>ANDA</w:t>
      </w:r>
      <w:r>
        <w:rPr>
          <w:rFonts w:ascii="Times New Roman" w:hAnsi="Times New Roman"/>
          <w:sz w:val="20"/>
        </w:rPr>
        <w:t xml:space="preserve">”). The Federal Food, Drug, and Cosmetic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conditions of use, or labeling as our product candidate and that the generic product is bioequivalent to ours, meaning it is absorbed in the body at the same rate and to the same extent as EP-104. These generic equivalents, which must meet the same quality standards as branded pharmaceuticals,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is typically lost to the generic product. Accordingly, competition from generic equivalents to our products would materially adversely impact our ability to successfully commercialize EP-104. </w:t>
      </w:r>
    </w:p>
    <w:p>
      <w:pPr>
        <w:pStyle w:val="TextBody"/>
        <w:bidi w:val="0"/>
        <w:spacing w:before="360" w:after="0"/>
        <w:jc w:val="left"/>
        <w:rPr>
          <w:rFonts w:ascii="Times New Roman" w:hAnsi="Times New Roman"/>
          <w:b/>
          <w:i/>
          <w:sz w:val="20"/>
        </w:rPr>
      </w:pPr>
      <w:r>
        <w:rPr>
          <w:rFonts w:ascii="Times New Roman" w:hAnsi="Times New Roman"/>
          <w:b/>
          <w:i/>
          <w:sz w:val="20"/>
        </w:rPr>
        <w:t xml:space="preserve">A variety of risks associated with potential international business relationships could materially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evaluate from time to time entering into agreements with third parties for the development and commercialization of EP-104IAR and may in the future seek to enter into similar agreements for other product candidates in international markets. If the Company does so, the Company would be subject to additional risks related to entering into international business relationships,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regulatory requirements in other countries including, among others, marketing approval, pricing, reimbursement and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for so-called parallel importing, which is when a local seller, faced with higher local prices, opts to import goods from a foreign market with lower prices, rather than buying them locally;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including tariffs being imposed by the current U.S. presidential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traveling and working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risks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Canada or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or supply chain disruptions;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volcanoes, typhoons, floods, tsunamis, hurricanes and fires.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risks may materially adversely affect the Company’s ability to develop and commercialize products in international markets and may harm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there is currently significant uncertainty about the future relationship between the United States and various other countries, including Canada, Mexico, and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on December 18, 2025, the BIOSECURE Act was signed into law. The Act limits US government procurement from and grants to “biotechnology companies of concerns” (BCCs). Under the Act, US government agencies cannot buy or obtain biotechnology equipment or services provided by a BCC; enter into, extend, or renew a contract with any entity using biotechnology equipment or services provided by a BCC to perform a government contract; or expend loan or grant funds for biotechnology equipment or services provided by a BCC, whether directly or through a loan or grant recipient. Any company on the Department of Defense list of “Chinese military companies” will be treated as a BCC. Pursuant to the Act, a full list of BCCs will be released by the US Office of Management and Budget by December 18, 2026. The Act has potentially significant implications for pharmaceutical manufacturers that rely on biotechnology equipment or services from a BCC, including whether their products are listed on the Department of Veterans Affairs’ Federal Supply Schedule which is required for reimbursement eligibility under Medicaid and Medicare Part B programs. Although the Act includes safe harbors and provisions designed to avoid collateral consequences for reimbursement under Medicaid and Medicare Part B, the potential impact on the pharmaceutical industry in general and our business is uncertain.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impact actions taken with respect to trade relations between the United States, Canada, Mexico, and China or other countries, what products and services may be subject to such actions or what actions may be taken by the other countries in retaliation. If we are unable to obtain or use services from existing service providers or become unable to export or sell products for which we receive marketing authorization to any of our customers or service providers, our business, liquidity, financial condition, and/or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Collaboration arrangements we may enter into in the future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the Company evaluates various partnerships, collaborations and other strategic transaction and may seek to enter into such transactions to help maximize the commercial potential of EP-104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other product candidates. In particular, the Company is evaluating funding alternatives for the continued development of EP-104IAR, including potential partnerships. The Company may enter into such arrangements on a selective basis depending on the merits of retaining commercialization rights as compared to entering into selective collaboration arrangements with leading pharmaceutical or biotechnology companies for EP-104 for any intended application and other product candidates, both in the United States and internationally. The Company faces competition in seeking appropriate collaborators. Moreover, collaboration arrangements are complex and time consuming to negotiate, document and implement. The Company may not be successful in its efforts to establish and implement collaborations or other alternative arrangements should the Company choose to enter into such arrangements. The terms of any collaborations or other arrangements that the Company may establish may not be favorable to the Company .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enters into partnerships, collaborations or other strategic transactions, such transactions that it enters into may not be successful. The success of any such arrangements will depend heavily on the efforts and activities of the Company’s collaborators. Collaborators generally have significant discretion in determining the efforts and resources that they will apply to these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Disagreements between parties to a collaboration arrangement regarding clinical development and commercialization matters could lead to delays in the development process or commercialization of the Company’s product candidates and in some cases, termination of the collaboration arrangement. These disagreements can be difficult to resolve if neither of the parties has final decision-making authority.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with pharmaceutical or biotechnology companies and other third parties often are terminated or allowed to expire by the other party. If the Company’s does enter into partnerships, collaborations or other strategic transactions, any such termination or expiration could adversely affect the Company financially and could harm the Company’s business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businesses or products, or form strategic alliances in the future, and we may not realize the benefits of such acquisitions or alliances.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acquire additional businesses or products, form strategic alliances or create joint ventures with third parties that the Company believes will complement or augment the Company’s existing business. If the Company acquires businesses with promising markets or technologies, the Company may not be able to realize the benefit of acquiring such businesses if the Company is unable to successfully integrate them with the Company’s existing operations and company culture. The Company may encounter numerous difficulties in developing, manufacturing and marketing any new products resulting from a strategic alliance or acquisition that delay or prevent the Company from realizing their expected benefits or enhancing the Company’s business. The Company cannot assure you that, following any such acquisition, the Company will achieve the expected synergies to justify the transaction. In addition, the Company may require significant additional funds to either acquire such businesses or products or to commercialize them, which may result in significant dilution to shareholders or the incurrence of significant indebtedness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traditionally relied on key collaborations and grants.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programs of the Company may require substantial additional cash. Traditionally, the Company has received funds under grant reward programs to fund portions of such development. The grants the Company has received may become subject to repayment in full, under certain conditions. The Company cannot provide assurance that grants it have received will not become subject to repayment, that the Company will continue to receive all or any of the grant funding that it apply for, that such grants if received will provide sufficient funding or that it will be able to establish future collaborations on commercially reasonable terms or at all. Inability to obtain grant funding and establish collaboration agreements may result in product development delays or cancellation, particularly in regard to pipeline programs. In addition, the success of collaboration agreements will depend heavily on the efforts and activities of the third-party collaborators, which are outside the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evolving global laws and regulations relating to privacy, data protection and information security, which may require us to incur substantial compliance costs, and changes in such laws and regulations any failure or perceived failure by us to comply with such laws and regulations may harm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process personal data and other sensitive information, including our proprietary and confidential business data, trade secrets, intellectual property, data about trial participants collected in connection with clinical trials,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240" w:after="0"/>
        <w:jc w:val="left"/>
        <w:rPr>
          <w:rFonts w:ascii="Times New Roman" w:hAnsi="Times New Roman"/>
          <w:sz w:val="20"/>
        </w:rPr>
      </w:pPr>
      <w:r>
        <w:rPr>
          <w:rFonts w:ascii="Times New Roman" w:hAnsi="Times New Roman"/>
          <w:sz w:val="20"/>
        </w:rPr>
        <w:t>In the United States, federal, state, and local governments have enacted numerous data privacy and security laws, including data breach notification laws, personal data privacy laws, and consumer protection laws. For example, the U.S. federal Health Insurance Portability and Accountability Act of 1996 (“</w:t>
      </w:r>
      <w:r>
        <w:rPr>
          <w:rFonts w:ascii="Times New Roman" w:hAnsi="Times New Roman"/>
          <w:b/>
          <w:sz w:val="20"/>
        </w:rPr>
        <w:t>HIPAA</w:t>
      </w:r>
      <w:r>
        <w:rPr>
          <w:rFonts w:ascii="Times New Roman" w:hAnsi="Times New Roman"/>
          <w:sz w:val="20"/>
        </w:rPr>
        <w:t>”), as amended by the Health Information Technology for Economic and Clinical Health Act of 2009 (“</w:t>
      </w:r>
      <w:r>
        <w:rPr>
          <w:rFonts w:ascii="Times New Roman" w:hAnsi="Times New Roman"/>
          <w:b/>
          <w:sz w:val="20"/>
        </w:rPr>
        <w:t>HITECH</w:t>
      </w:r>
      <w:r>
        <w:rPr>
          <w:rFonts w:ascii="Times New Roman" w:hAnsi="Times New Roman"/>
          <w:sz w:val="20"/>
        </w:rPr>
        <w:t>”), imposes specific requirements relating to the privacy, security, and transmission of individually identifiable health information. At the state level, the California Consumer Privacy Act of 2018 (“</w:t>
      </w:r>
      <w:r>
        <w:rPr>
          <w:rFonts w:ascii="Times New Roman" w:hAnsi="Times New Roman"/>
          <w:b/>
          <w:sz w:val="20"/>
        </w:rPr>
        <w:t>CCPA</w:t>
      </w:r>
      <w:r>
        <w:rPr>
          <w:rFonts w:ascii="Times New Roman" w:hAnsi="Times New Roman"/>
          <w:sz w:val="20"/>
        </w:rPr>
        <w:t xml:space="preserve">”), as amended and supplemented by the California Privacy Rights Act, imposes obligations on businesses to which it applies. The CCPA allows for statutory fines for noncompliance. Although the CCPA exempts some data processed in the context of clinical trials, the CCPA, to the extent applicable to our business and operations, may increase compliance costs and potential liability with respect to other personal information we may maintain about California residents. Other states have also enacted data privacy laws, including sector-specific laws such as Washington’s My Health, My Data Act, and numerous general privacy laws that share similarities with the CCPA. Additional data privacy and security laws have been proposed at the federal, state, and local levels in recent years, which could further complicate compliance efforts. </w:t>
      </w:r>
    </w:p>
    <w:p>
      <w:pPr>
        <w:pStyle w:val="TextBody"/>
        <w:bidi w:val="0"/>
        <w:spacing w:before="240" w:after="0"/>
        <w:jc w:val="left"/>
        <w:rPr>
          <w:rFonts w:ascii="Times New Roman" w:hAnsi="Times New Roman"/>
          <w:sz w:val="20"/>
        </w:rPr>
      </w:pPr>
      <w:r>
        <w:rPr>
          <w:rFonts w:ascii="Times New Roman" w:hAnsi="Times New Roman"/>
          <w:sz w:val="20"/>
        </w:rPr>
        <w:t>Outside the U.S., the European Union’s general data protection regulation (“</w:t>
      </w:r>
      <w:r>
        <w:rPr>
          <w:rFonts w:ascii="Times New Roman" w:hAnsi="Times New Roman"/>
          <w:b/>
          <w:sz w:val="20"/>
        </w:rPr>
        <w:t>EU GDPR</w:t>
      </w:r>
      <w:r>
        <w:rPr>
          <w:rFonts w:ascii="Times New Roman" w:hAnsi="Times New Roman"/>
          <w:sz w:val="20"/>
        </w:rPr>
        <w:t xml:space="preserve">”) and the United Kingdom’s general data protection regulation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other foreign jurisdictions have enacted laws and regulations relating to privacy, data protection, and information security, as well as certain data localization laws and cross-border personal data transfer laws, that could make it more difficult to transfer information across jurisdictions, such as transferring or receiving personal data that originates in the EU. For example, in Canada, where we are headquartered, federal and provincial legislation impose strict requirements for the processing of personal data of individuals, with substantial penalties for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with laws, regulations or other actual or asserted obligations relating to privacy, data protection or information security, and could face significant consequences. These consequences may include, but are not limited to, government enforcement actions, investigations and other proceedings; private claims, demands, and litigation; additional reporting requirements and/or oversight; bans on processing personal data; orders to destroy or not use personal data; imprisonment of company officials and fines, penalties, and other liabilities.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p>
      <w:pPr>
        <w:pStyle w:val="TextBody"/>
        <w:bidi w:val="0"/>
        <w:spacing w:before="120" w:after="0"/>
        <w:jc w:val="left"/>
        <w:rPr>
          <w:rFonts w:ascii="Times New Roman" w:hAnsi="Times New Roman"/>
          <w:sz w:val="20"/>
        </w:rPr>
      </w:pPr>
      <w:r>
        <w:rPr>
          <w:rFonts w:ascii="Times New Roman" w:hAnsi="Times New Roman"/>
          <w:sz w:val="20"/>
        </w:rPr>
        <w:t xml:space="preserve">We rely on both internal information technology systems and networks, and those of third parties and their vendors and contractors, to transmit, store and otherwise process information in connection with our business activities. We are increasingly dependent upon our technology systems to operate our business and our ability to effectively manage our business depends on the security, reliability and adequacy of our and our third-party or other contractors’ or vendors’ technology systems and data. Any cyberattack, including phishing or other forms of social engineering, business email compromise, ransomware or other malware, or any security breach, security incident, or other destruction, loss, or unauthorized use, modification,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trial data from completed or ongoing clinical trials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to our reputation, and subject us to claims, demands and litigation by private parties and governmental investigations and other proceedings by federal, state and local regulatory entities in the U.S. and by international regulatory entities, resulting in exposure to material civil and/or criminal proceedings and liability. In addition, we may incur significant additional expense to implement further measures and policies relating to privacy, data protection and information security, whether in response to an actual or perceived security breach or incident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To date, although we have faced cyberattacks and suffered information security incidents, we have not experienced any material impact to our business, financial position or operations resulting from cyberattacks or other information security incidents of which we are aware; however, because of frequently changing attack techniques, along with the increased volume and sophistication of such attacks, our business, financial position or operations could be adversely impacted in the future. Moreover, the prevalent use of mobile devices that access confidential information, widespread use of cloud-based applications with remote data centers, and ability to work remotely all increase the risk of security breaches and incidents. These risks may be heightened due to the increasing number of our and our vendors’ and contractors’ personnel working remotely. Further geopolitical events such as wars and conflicts may increase the cybersecurity threats we and the third parties we work with face. As cyber threats continue to evolve, we may be required to expend significant additional resources to continue to modify or enhance our protective measures or to investigate and remediate information security vulnerabilities. While we have implemented security measures, our computer systems and the external systems and services used by our third-party contract manufacturers and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incidents, and we cannot be sure that such coverage will continue to be available on acceptable terms or at all. In addition, regulators are considering new cybersecurity laws and regulations. These proposed laws and regulations may impact the manner in which we operate and require us to incur increasing costs.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security risks could have a material adverse effect on our business, results of operations,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fail to manage our growth successfully which may adversely impact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failure to manage its growth successfully may adversely impact its operating results. The Company’s ability to manage growth will require it to continue to build its operational, financial and management controls, contracting relationships, marketing and business development plans and controls and reporting systems and procedures. The Company’s ability to manage its growth will also depend in large part upon a number of factors, including the ability for it to rapidly: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its internal and operational and financial controls significantly so that it can maintain control over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qualified technical personnel in order to continue to develop its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commercial infrastructure following any approval of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inability to achieve any of these objectives could harm the business, financial condition and results of operations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the protection of our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to a significant degree upon its ability to develop new or improved technologies, instruments and products, and to obtain patents or other intellectual property rights or statutory protection for these technologies and products in Canada, the United States and other countries, such as the countries in the European Union and Asia. The Company intends to patent concepts, components, processes, industrial designs and methods, and other inventions and technologies that it considers to have commercial value or that will likely give it a competitive advantage. Despite devoting resources to the research and development of proprietary technology, the Company may not be able to develop new technology that is patentable or protectable. Further, patents issued to the Company, if any, could be challenged, held invalid or unenforceable, or be circumvented and may not provide the Company with necessary or sufficient protection or a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In addition, despite its efforts to protect and maintain its patents, competitors and other third parties may be able to design around the Company’s patents, if so awarded, or develop products similar to its products that are not within the scope of such patents. Finally, patents provide certain statutory protection for a limited period of time that varies depending on the jurisdiction and type of patent. The statutory protection term of the Company’s material patents will expire at some time and thereafter the underlying technology of such patents will be allowed to be used by any third party, including its competitors. Moreover, the inventions covered by patents may be free to be used in countries for which there is no patent protection. A number of the Company’s competitors and other third parties have been issued patents, or may have filed patent applications, or may obtain additional patents or other intellectual property rights for technologies similar to those that the Company has developed, used or commercialized, or may develop, use or commercialize in the future. As certain patent applications in the United States and other countries are maintained in secrecy for a period of time after filing, and as publication or public awareness of new technologies often lags behind actual discoveries, the Company cannot be certain that it has been the first to develop the technology covered by its pending patent applications. In addition, the disclosure in its patent applications, including in respect of the utility of its claimed inventions, may not be sufficient to meet the statutory requirements for patentability in all cases. As a result, the Company cannot assure that its patent applications will result in valid or enforceable patents. </w:t>
      </w:r>
    </w:p>
    <w:p>
      <w:pPr>
        <w:pStyle w:val="TextBody"/>
        <w:bidi w:val="0"/>
        <w:spacing w:before="240" w:after="0"/>
        <w:jc w:val="left"/>
        <w:rPr>
          <w:rFonts w:ascii="Times New Roman" w:hAnsi="Times New Roman"/>
          <w:sz w:val="20"/>
        </w:rPr>
      </w:pPr>
      <w:r>
        <w:rPr>
          <w:rFonts w:ascii="Times New Roman" w:hAnsi="Times New Roman"/>
          <w:sz w:val="20"/>
        </w:rPr>
        <w:t xml:space="preserve">Prosecution and protection of the rights sought in patent applications and patents can be costly and uncertain, often involve complex legal and factual issues and consume significant time and resources. In addition, the breadth of claims allowed in the Company’s future patents, their enforceability and its ability to protect and maintain them cannot be predicted with any certainty. The laws of certain countries may not protect intellectual property rights to the same extent as the laws of Canada or the United States. Even if its patents are held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valid and enforceable in a certain jurisdiction, any legal proceedings that the Company may initiate against third parties to enforce such patents will likely be expensive, take significant time and divert management’s attention from other business matters. The Company cannot assure that any of its pending patent applications will provide any protectable, maintainable or enforceable rights or competitive advantages to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the Company relies on a combination of industrial designs, trademarks, trade secrets and other related laws and confidentiality procedures and contractual provisions to protect, maintain and enforce its proprietary technology and intellectual property rights in the United States, Canada and other countries. However, the Company’s ability to protect its brand by registering certain trademarks may be limited. In addition, while the Company generally enters into confidentiality and non-disclosure agreements with its employees, consultants and contractors to attempt to limit access to and distribution of its proprietary and confidential information, it is possible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its proprietary and confidential information, including technology, will nevertheless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confidentiality agreements will not be honored or may be rendered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will independently develop equivalent, superior or competitive technology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will arise concerning the ownership, validity, enforceability, use patentability or registrability of intellectual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disclosure of its know-how, trade secrets or other proprietary or confidential information will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cannot assure that it will be successful in protecting, maintaining or enforcing its intellectual property rights. If it is not successful in protecting, maintaining or enforcing its intellectual property rights, then the Company’s business, operating results and financial condition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enforce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The laws of some foreign countries do not protect intellectual property rights to the same extent as the laws of Canada and the United States. Many companies have encountered significant problems in protecting and defending intellectual property rights in certain foreign jurisdictions. The legal systems of some countries, particularly developing countries, do not favour the enforcement of patents and other intellectual property protection, especially those relating to life sciences. To the extent that the Company has obtained or is able to obtain patents or other intellectual property rights in any foreign jurisdictions, it may be difficult for the Company to stop the infringement of the Company’s patents or the misappropriation of other intellectual property rights. For example, some foreign countries have compulsory licensing laws under which a patent owner must grant licenses to third parties. In addition, many countries limit the availability of certain types of patent rights and enforceability of patents against third parties, including government agencies or government contractors. In these countries, patents may provide limited or no benefit.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the Company’s patent rights in foreign jurisdictions could result in substantial costs and divert the Company’s efforts and attention from other aspects of the Company’s business. Accordingly, the Company’s efforts to protect the Company’s intellectual property rights in such countries may be inadequate.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Guidelines and recommendations published by various organizations can reduce the use of products that we may commercialize. </w:t>
      </w:r>
    </w:p>
    <w:p>
      <w:pPr>
        <w:pStyle w:val="TextBody"/>
        <w:bidi w:val="0"/>
        <w:spacing w:before="120" w:after="0"/>
        <w:jc w:val="left"/>
        <w:rPr>
          <w:rFonts w:ascii="Times New Roman" w:hAnsi="Times New Roman"/>
          <w:sz w:val="20"/>
        </w:rPr>
      </w:pPr>
      <w:r>
        <w:rPr>
          <w:rFonts w:ascii="Times New Roman" w:hAnsi="Times New Roman"/>
          <w:sz w:val="20"/>
        </w:rPr>
        <w:t xml:space="preserve">Government agencies promulgate regulations and guidelines directly applicable to us and to our product candidates and any future products. In addition, professional societies, such as the American Gastroenterological Association, the Joint Task Force for Allergy-Immunology Practice Parameters, the American College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Rheumatology, practice management groups, private health and science foundations and organizations involved in various diseases from time to time may also publish guidelines or recommendations to the healthcare and patient communities with respect to specific products. Recommendations of government agencies or these other groups or organizations may relate to such matters as usage, dosage, route of administration and use of concomitant therapies. Recommendations or guidelines that do not recognize the Company’s future products, suggest limitations or inadequacies of the Company’s future products, or suggest the use of competitive or alternative products as the standard of care to be followed by patients and healthcare providers, could result in decreased use or adoption of the Company’s future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reform legislation in the United States could increase the uncertainties and costs surrounding the prosecution of our patent applications and the enforcement or defense of our issued patents.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16, 2011, the </w:t>
      </w:r>
      <w:r>
        <w:rPr>
          <w:rFonts w:ascii="Times New Roman" w:hAnsi="Times New Roman"/>
          <w:i/>
          <w:sz w:val="20"/>
        </w:rPr>
        <w:t xml:space="preserve">Leahy-Smith America Invents Act </w:t>
      </w:r>
      <w:r>
        <w:rPr>
          <w:rFonts w:ascii="Times New Roman" w:hAnsi="Times New Roman"/>
          <w:sz w:val="20"/>
        </w:rPr>
        <w:t>(the “</w:t>
      </w:r>
      <w:r>
        <w:rPr>
          <w:rFonts w:ascii="Times New Roman" w:hAnsi="Times New Roman"/>
          <w:b/>
          <w:sz w:val="20"/>
        </w:rPr>
        <w:t>Leahy-Smith Act</w:t>
      </w:r>
      <w:r>
        <w:rPr>
          <w:rFonts w:ascii="Times New Roman" w:hAnsi="Times New Roman"/>
          <w:sz w:val="20"/>
        </w:rPr>
        <w: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United States Patent and Trademark Office (“</w:t>
      </w:r>
      <w:r>
        <w:rPr>
          <w:rFonts w:ascii="Times New Roman" w:hAnsi="Times New Roman"/>
          <w:b/>
          <w:sz w:val="20"/>
        </w:rPr>
        <w:t>USPTO</w:t>
      </w:r>
      <w:r>
        <w:rPr>
          <w:rFonts w:ascii="Times New Roman" w:hAnsi="Times New Roman"/>
          <w:sz w:val="20"/>
        </w:rPr>
        <w:t xml:space="preserve">”) and may become involved in post-grant proceedings including opposition, derivation, re-examination, </w:t>
      </w:r>
      <w:r>
        <w:rPr>
          <w:rFonts w:ascii="Times New Roman" w:hAnsi="Times New Roman"/>
          <w:i/>
          <w:sz w:val="20"/>
        </w:rPr>
        <w:t xml:space="preserve">inter partes </w:t>
      </w:r>
      <w:r>
        <w:rPr>
          <w:rFonts w:ascii="Times New Roman" w:hAnsi="Times New Roman"/>
          <w:sz w:val="20"/>
        </w:rPr>
        <w:t xml:space="preserve">review or interference proceedings challenging the Company’s patent rights or the patent rights of others. An adverse determination in any such submission, proceeding or litigation could reduce the scope or enforceability of, or invalidate, the Company’s patent rights, which could adversely affect the Company’s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that the Leahy-Smith Act will have on the operation of the Company’s business is not clear. The Leahy-Smith Act and its implementation could increase the uncertainties and costs surrounding the prosecution of the Company’s patent applications and the enforcement or defense of the Company’s issued patents, as well as the Company’s ability to bring about timely favourable resolution of any disputes involving the Company’s patents and the patents of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Non-compliance with regulatory requirements may reduce or eliminate our patent protection.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unenforceability, invalidity, abandonment or lapse of the patent or patent application, resulting in partial or complete loss of patent rights in the relevant jurisdiction. Non-compliance events that could result in unenforceability, invalidity, abandonment or lapse of a patent or patent application include, but are not limited to, failure to respond to official actions within prescribed time limits, non-payment of fees and failure to properly legalize and submit formal documents. If the Company or any future licensors fail to maintain the patents and patent applications covering the Company’s product candidates, the Company’s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in part, upon it not infringing or violating intellectual property rights owned by others. The industry in which the Company competes has participants that own, or claim to own, intellectual property. The Company cannot determine with certainty whether any existing third-party patents,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any new third-party patents, would require it to alter its technologies or products, obtain licenses or cease certain activities, including the sale of certain products.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the future receive claims from third parties asserting infringement and other related claims. Litigation may be necessary to determine the scope, enforceability and validity of third-party intellectual property rights or to protect, maintain and enforce the Company’s intellectual property rights. Some of the Company’s competitors have, or are affiliated with companies having, substantially greater resources than it has, and these competitors may be able to sustain the costs of complex intellectual property litigation to a greater degree and for longer periods of time than the Company can. Regardless of whether claims that it is infringing or violating patents or other intellectual property rights have any merit, those claims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Company’s relationships with current or future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its reputation with suppliers, payors 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time-consuming and expensive to evaluate and defend;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divert management’s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the Company to significant liabilities and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enter into royalty or licensing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cease certain activities, including the sale of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it is determined that the Company has infringed upon, violated or is infringing upon or violating a patent or the intellectual property right of any other person, or if it is found liable in respect of any other related claim, then in addition to being liable for potentially substantial damages, the Company may be prohibited from developing, using, distributing, selling or commercializing certain of its technologies and products unless it obtains a license from the holder of the patent or other intellectual property right. The Company cannot assure that it will be able to obtain any such license on a timely basis or on commercially favourable terms, or that any such licenses will be available, or that workarounds will be feasible and cost-efficient. If it does not obtain such a license or find a cost-efficient workaround, the Company’s business, operating results and financial condition could be materially adversely affected and it could be required to cease related business operations in some markets and restructure its business to focus on its continuing operations in other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arising from consultants or contractors misappropriating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consultants and contractors were previously or are concurrently employed at or engaged by biotechnology companies, and/or other pharmaceutical companies, including the Company’s competitors or potential competitors, or academic research institutions. Some of these consultants and contractors, including each member of the Company’s senior management or the Company’s other employees, may have executed proprietary rights, nondisclosure and non-competition agreements in connection with such previous or concurrent employment. The Company may be subject to claims that the Company or its consultants and contractors have used or disclosed the intellectual property and other proprietary information or know-how or trade secrets of others in their work for the Company. Litigation may be necessary to defend against these claims. The Company is not aware of any threatened or pending claims related to these matters or concerning agreements with the Company’s senior management, or other of the Company’s employees, consultants, and contractors, but litigation may be necessary in the future to defend against such claims. If the Company fails in defending any such claims, in addition to paying monetary damages, the Company may lose valuable intellectual property rights, or personnel or access to consultants and contractors. Even if the Company is successful in defending against such claims, litigation could result in substantial costs and be a distraction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the Company’s policy is to require the Company’s consultants and contractors who may be involved in the development of intellectual property to execute agreements assigning such intellectual property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may be unsuccessful in executing such an agreement with each party who in fact develops intellectual property that the Company regards as the Company’s own, which may result in claims by or against the Company related to the ownership of such intellectual property. If the Company fails in prosecuting or defending any such claims, in addition to paying monetary damages, the Company may lose valuable intellectual property rights. Even if the Company is successful in prosecuting or defending against such claims, litigation could result in substantial costs and be a distraction to the Company’s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hazardous chemicals and biological materials in our business. Any claims relating to improper handling, storage or disposal of these materials could be time consuming and costly. </w:t>
      </w:r>
    </w:p>
    <w:p>
      <w:pPr>
        <w:pStyle w:val="TextBody"/>
        <w:bidi w:val="0"/>
        <w:spacing w:before="120" w:after="0"/>
        <w:jc w:val="left"/>
        <w:rPr>
          <w:rFonts w:ascii="Times New Roman" w:hAnsi="Times New Roman"/>
          <w:sz w:val="20"/>
        </w:rPr>
      </w:pPr>
      <w:r>
        <w:rPr>
          <w:rFonts w:ascii="Times New Roman" w:hAnsi="Times New Roman"/>
          <w:sz w:val="20"/>
        </w:rPr>
        <w:t xml:space="preserve">Our product manufacturing, research and development, and testing activities involve the controlled use of hazardous materials, including chemicals and biological materials. We cannot eliminate the risks of accidental contamination or the accidental discharge of these materials, or any resulting injury from such an event. We may be subjected to litigation for any injury that results from our use or the use by third parties of these materials, and our liability may exceed our insurance coverage and our total assets. Our use, manufacture, storage, handling and disposal of these hazardous materials and specified waste products, as well as the discharge of pollutants into the environment and human health and safety matters, are governed by federal, state, provincial and local legislation. We are also subject to various laws and regulations relating to safe working conditions, laboratory and manufacturing practices. Our operations may require that environmental permits and approvals be issued by applicable government agencies, which can be costly and time-consuming to attain. These regulations and legislation can change, or new ones come into place, due to future legislative or administrative actions. These events could cause us to incur additional expense or restrict our operations. Compliance with environmental laws and regulations, current or future, may be expensive and prohibitive for our research, development, or production efforts. Failure to comply could incur substantial costs and liabilities, including civil or criminal fines and penalties, clean-up costs or capital expenditures to achieve and maintain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then we may incur substantial liabilities and may be required to limit commercialization of EP-104, if approved for any indication, and any other future products.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faces a potential risk of product liability as a result of distribution of its product candidates for testing and commercialization of EP-104 for any indication and other pipeline products, if approved. For example, the Company may face claims if use of EP-104 allegedly causes injury or is found to be otherwise unsuitable during product testing, manufacturing, marketing or sale. Any such product liability claims may include allegations of defects in manufacturing, defects in product quality, a failure to warn of dangers inherent in the product candidate or product, negligence, strict liability or a breach of warranties. Claims could also be asserted under state consumer protection acts. If the Company cannot successfully defend itself against product liability claims, the Company may incur substantial liabilities or be required to limit commercialization of the product subject to such claims.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current and future approved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the Company’s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time and the Company’s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commercialize EP-104 for any indication and other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 in the Company’s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adverse publicity.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Company currently has product liability insurance in place, the Company does not know whether the limits of the insurance will be sufficient to satisfy any claims should they arise. We may not have sufficient resources to pay for any liabilities resulting from a claim excluded from or beyond the limits of, our insurance coverage. If we cannot successfully defend ourselves against a product liability claim, we may incur substantial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exposed to the risk that employees, independent contractors, principal investigators, consultants, commercial partners and vendors may engage in fraudulent or other illegal activity, fraud or other misconduct. Misconduct by these parties could include intentional, reckless or negligent conduct or disclosure of unauthorized activities to the Company that violates: (i) the law and regulations of the FDA and non-US regulators, including those laws that require the reporting of true, complete and accurate information to the FDA and non-US regulators, (ii) healthcare fraud and abuse laws and regulations in the United States and elsewhere, and (iii)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in violation of these laws may also involve the improper use of information obtained in the course of clinical trials, which could result in regulatory sanctions and serious harm to the Company’s reputation. It is not always possible to identify and deter misconduct by the Company’s executives, employees, consultants and other third parties, and any precautions the Company takes to detect and prevent this activity may not be effective in controlling unknown or unmanaged risks or losses or in protecting the Company from governmental investigations or other actions or lawsuits stemming from a failure to comply with these laws or regulations. If any such actions are instituted against the Company, and the Company is not successful in defending itself or asserting the Company’s rights, those actions could have a significant impact on the Company’s business, including the imposition of significant civil, criminal and administrative penalties, damages, monetary fines, possible exclusion from participation in national healthcare programs, contractual damages, reputational harm, diminished profits and future earnings and curtailment of the Company’s operations, any of which could adversely affect the Company’s ability to operate the business and the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securities litigation, which is expensive and could divert management attention.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be volatile, and in the past companies that have experienced volatility in the market price of their shares have been subject to securities class action litigation. The Company may be the target of this type of litigation in the future. Litigation of this type could result in substantial costs and diversion of management’s attention and resources, which could adversely impact the Company’s business. Any adverse determination in litigation could also subject the Company to significant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adequately prevent disclosure of trade secrets and other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relies on trade secrets to protect the Company’s proprietary technological advances and know-how, especially where the Company does not believe patent protection is appropriate or obtainable. However, trade secrets are difficult to protect. The Company relies in part on confidentiality agreements with the Company’s consultants, contractors, outside scientific collaborators, sponsored researchers and other advisors, including the third parties the Company relies on to manufacture the Company’s product candidates, to protect the Company’s trade secrets and other proprietary information. However, any party with whom the Company has executed such an agreement may breach that agreement and disclose the Company’s proprietary information, including the Company’s trade secrets. Accordingly, these agreements may not effectively prevent disclosure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and may not provide an adequate remedy in the event of unauthorized disclosure of confidential information. Costly and time-consuming litigation could be necessary to enforce and determine the scope of the Company’s proprietary rights. In addition, others may independently discover the Company’s trade secrets and proprietary information. Failure to obtain or maintain trade secret protection could enable competitors to use the Company’s proprietary information to develop products that compete with the Company’s products or cause additional, material adverse effects upon the Company’s competitive business position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relating to intellectual property infringement would be costly and time consuming.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be required to initiate litigation to enforce or defend the Company’s intellectual property rights. These lawsuits can be very time consuming and costly. There is a substantial amount of litigation involving patent and other intellectual property rights in the pharmaceutical industry generally. Such litigation or proceedings could substantially increase the Company’s operating expenses and reduce the resources available for development activities or any future sales, marketing or distribution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In infringement litigation, any award of monetary damages the Company receives may not be commercially valuable. Furthermore, because of the substantial amount of discovery required in connection with intellectual property litigation, there is a risk that some of the Company’s confidential information and trade secrets could be compromised by disclosure during litigation. Moreover, there can be no assurance that the Company will have sufficient financial or other resources to file and pursue such infringement claims, which typically last for years before they are resolved. Further, any claims the Company asserts against a perceived infringer could provoke these parties to assert counterclaims against the Company alleging that the Company has infringed their patents. Some of the Company’s competitors may be able to sustain the costs of such litigation or proceedings more effectively than the Company can because of their greater financial resources. Uncertainties resulting from the initiation and continuation of patent litigation or other proceedings could have a material adverse effect on the Company’s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patents and patent applications could face other challenges, such as interference proceedings, opposition proceedings, reissue, </w:t>
      </w:r>
      <w:r>
        <w:rPr>
          <w:rFonts w:ascii="Times New Roman" w:hAnsi="Times New Roman"/>
          <w:i/>
          <w:sz w:val="20"/>
        </w:rPr>
        <w:t xml:space="preserve">inter partes </w:t>
      </w:r>
      <w:r>
        <w:rPr>
          <w:rFonts w:ascii="Times New Roman" w:hAnsi="Times New Roman"/>
          <w:sz w:val="20"/>
        </w:rPr>
        <w:t xml:space="preserve">review, re-examination proceedings, third-party submissions of prior art, and other forms of post-grant review. Any of these challenges, if successful, could result in the invalidation of, or in a narrowing of the scope or preventing the issuance of, any of the Company’s patents and patent applications subject to challenge. Any of these challenges, regardless of their success, would likely be time consuming and expensive to defend and resolve and would divert the Company’s management and scientific personnel’s time and attention.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could be public announcements of the results of hearings, motions or other interim proceedings or developments, and if securities analysts or investors perceive these results to be negative, it could have a material adverse effect on the market price of the Common Shares. Such litigation or proceedings could substantially increase the Company’s operating losses and reduce the resources available for development activities or any future sales, marketing or distribution activities. The Company may not have sufficient financial or other resources to adequately conduct such litigation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the Company’s favour, litigation or other legal proceedings relating to intellectual property claims may cause the Company to incur significant expenses and could distract the Company’s technical and management personnel from their normal responsibilities, which could have a material adverse effect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directors and executive officers may be affiliated with other biotech companies and may have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directors and executive officers of the Company may, from time to time, be employed by or affiliated with organizations which have entered into agreements or will enter into agreements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As disputes may arise between these organizations and the Company, or certain of these organizations may undertake or have undertaken research with the Company’s competitors, there exists the possibility for such persons to be in a position of conflict. The Company cannot assure that any decision or recommendation made by these persons involving the Company will be made in accordance with his or her duties and obligations to deal fairly and in good faith with the Company and such other organizations.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macroeconomic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Various macroeconomic factors could adversely affect the Company’s business and the results of the Company’s operations and financial condition, including changes in inflation, interest rates and foreign currency exchange rates, and overall economic conditions and uncertainties, including those resulting from political instability and the current and future conditions in the global financial markets. For instance, if inflation or other factors were to significantly increase the Company’s business costs, it may not be feasible to pass through price increases to patients. Interest rates, the liquidity of the credit markets and the volatility of the capital markets could also affect the value of the Company’s investments and the Company’s ability to liquidate the Company’s investments in order to fund the Company’s operations, if necessary. </w:t>
      </w:r>
    </w:p>
    <w:p>
      <w:pPr>
        <w:pStyle w:val="TextBody"/>
        <w:bidi w:val="0"/>
        <w:spacing w:before="240" w:after="0"/>
        <w:jc w:val="left"/>
        <w:rPr>
          <w:rFonts w:ascii="Times New Roman" w:hAnsi="Times New Roman"/>
          <w:sz w:val="20"/>
        </w:rPr>
      </w:pPr>
      <w:r>
        <w:rPr>
          <w:rFonts w:ascii="Times New Roman" w:hAnsi="Times New Roman"/>
          <w:sz w:val="20"/>
        </w:rPr>
        <w:t xml:space="preserve">Interest rates and the ability to access credit markets could also adversely affect the ability of payors and distributors to purchase, pay for and effectively distribute the Company’s products if and when approved. Similarly, these macroeconomic factors could affect the ability of the Company’s current or potential future contract manufacturers, sole-source or single-source suppliers, or licensees to remain in business or otherwise manufacture or supply the Company’s product candidates. Failure by any of them to remain in business could affect the Company’s ability to manufacture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global geopolitical risks.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risks specific to the countries in which the Company operates, global events such as war and occupation, terrorism and related geopolitical risks may lead to increased market volatility and may have adverse short-term and long-term effects on world economies and markets generally. For example, in late February 2022, Russian military forces launched significant military action against Ukraine, and conflict and disruption in the region is ongoing. This conflict has the potential to affect our clinical trial operations in Poland, Czech Republic and Denmark.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There is increased uncertainty with respect to the ongoing conflict in Ukraine and Ukraine’s current relationship with the United States. The effects of disruptive events could affect the global economy and financial and commodities markets in ways that cannot necessarily be foreseen at the present time. These events could also exacerbate other pre- existing political, social and economic risks, including those described elsewhere in this prospectus. In addition, the ongoing armed conflict in Iran and the surrounding region could adversely affect our business, results of operations, the value of our securities, and the pharmaceutical industry in general. The conflict and related regional instability may disrupt global supply chain and contribute to energy price volatility, inflationary pressures, currency fluctuations, and general market instability.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responsible for corruption and anti-bribery law violations.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activities are subject to the to the United States </w:t>
      </w:r>
      <w:r>
        <w:rPr>
          <w:rFonts w:ascii="Times New Roman" w:hAnsi="Times New Roman"/>
          <w:i/>
          <w:sz w:val="20"/>
        </w:rPr>
        <w:t>Foreign Corrupt Practices Act</w:t>
      </w:r>
      <w:r>
        <w:rPr>
          <w:rFonts w:ascii="Times New Roman" w:hAnsi="Times New Roman"/>
          <w:sz w:val="20"/>
        </w:rPr>
        <w:t xml:space="preserve"> (the “</w:t>
      </w:r>
      <w:r>
        <w:rPr>
          <w:rFonts w:ascii="Times New Roman" w:hAnsi="Times New Roman"/>
          <w:b/>
          <w:sz w:val="20"/>
        </w:rPr>
        <w:t>FCPA</w:t>
      </w:r>
      <w:r>
        <w:rPr>
          <w:rFonts w:ascii="Times New Roman" w:hAnsi="Times New Roman"/>
          <w:sz w:val="20"/>
        </w:rPr>
        <w:t xml:space="preserve">”) and other anti-bribery and anti-corruption laws of the United States and other countries in which the Company operates, as well as U.S. and certain foreign export controls and trade sanctions which generally prohibit companies and company employees from engaging in bribery or other prohibited payments to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officials for the purpose of obtaining or retaining business. The Company’s employees or other agents may, without its knowledge and despite its efforts, engage in prohibited conduct under the Company’s policies and procedures and the FCPA or other anti-bribery laws for which the Company may be held responsible. If the Company’s employees or other agents are found to have engaged in such practices, the Company could suffer severe penalties and other consequences that may have a material adverse effect on its business, financial condition and results of operations. In February 2025, President Trump issued an executive order directing the U.S. Department of Justice (“</w:t>
      </w:r>
      <w:r>
        <w:rPr>
          <w:rFonts w:ascii="Times New Roman" w:hAnsi="Times New Roman"/>
          <w:b/>
          <w:sz w:val="20"/>
        </w:rPr>
        <w:t>DOJ</w:t>
      </w:r>
      <w:r>
        <w:rPr>
          <w:rFonts w:ascii="Times New Roman" w:hAnsi="Times New Roman"/>
          <w:sz w:val="20"/>
        </w:rPr>
        <w:t xml:space="preserve">”) to pause enforcement of the FCPA and to issue new enforcement guidelines that take into consideration U.S. national security and the competitiveness of U.S. companies abroad. New guidelines were issued by DOJ in June 2025 with enforcement efforts increasingly focused on matters involving significant criminal conduct that impacts US national security and economic interests. It is unclear how this presidential directive may affect the pharmaceutical industry as a whole or the business of the Company in particular.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foreign exchange risks.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grows and does business in foreign markets, including the United States and Europe, it is quite possible that transactions will take place in foreign currencies. At this point the Company does not participate in hedging activities. Although the Company cannot predict the effect of possible foreign exchange losses in the future, if such losses occurred, they could have a material adverse effect on the Company’s business, results of operation, and financial condition. In addition, fluctuations in exchange rates could affect the pricing of the Company’s products and negatively influence customer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taxation risks and changing rules by different tax authorities. </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are often complex as tax authorities may disagree with the treatment of items reported by the Company, the result of which could have a material adverse effect on the Company’s financial condition and results of operations. In addition, the Company may be subject to routine tax audits by various tax authorities. Tax audits may result in additional tax, interest payments and penalties which, if levied, would negatively affect the financial condition and operating results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 current or future government of any country in which the Company operates may adopt substantially different tax policies or tax laws. Any such changes could result in higher taxes being payable by the Company, which could adversely affect the future cash flows, earnings, results of operations and/or financial condition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 number of risks and hazards and may not be sufficiently insured for all of them.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is subject to a number of general risks and hazards, including general liability. Such occurrences could result in damage to property, inventory or facilities, personal injury or death to end-customers or operators, damage to the properties of the Company or the properties of others, monetary losses and possible legal liability. Although the Company maintains insurance to protect against certain risks in such amounts as it considers to be reasonable, its insurance may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The Company might also become subject to liability which may not be insured against or which the Company may elect not to insure against because of premium costs or other reasons. Losses from these events may cause the Company to incur significant costs that could have a material adverse effect upon the Company’s financial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devote significant resources to regulatory compliance as a public entity.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the Company incurs significant legal, accounting and other expenses. Legal, accounting and other expenses associated with public company reporting requirements have increased significantly in recent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years. The Company anticipates that costs may continue to increase with corporate governance related requirements, including, without limitation, requirements under National Instrument 52-109—</w:t>
      </w:r>
      <w:r>
        <w:rPr>
          <w:rFonts w:ascii="Times New Roman" w:hAnsi="Times New Roman"/>
          <w:i/>
          <w:sz w:val="20"/>
        </w:rPr>
        <w:t>Certification of Disclosure in Issuers’ Annual and Interim Filings</w:t>
      </w:r>
      <w:r>
        <w:rPr>
          <w:rFonts w:ascii="Times New Roman" w:hAnsi="Times New Roman"/>
          <w:sz w:val="20"/>
        </w:rPr>
        <w:t xml:space="preserve">, National Instrument 52-110 - </w:t>
      </w:r>
      <w:r>
        <w:rPr>
          <w:rFonts w:ascii="Times New Roman" w:hAnsi="Times New Roman"/>
          <w:i/>
          <w:sz w:val="20"/>
        </w:rPr>
        <w:t>Audit Committees</w:t>
      </w:r>
      <w:r>
        <w:rPr>
          <w:rFonts w:ascii="Times New Roman" w:hAnsi="Times New Roman"/>
          <w:sz w:val="20"/>
        </w:rPr>
        <w:t xml:space="preserve"> and National Instrument 58-101—</w:t>
      </w:r>
      <w:r>
        <w:rPr>
          <w:rFonts w:ascii="Times New Roman" w:hAnsi="Times New Roman"/>
          <w:i/>
          <w:sz w:val="20"/>
        </w:rPr>
        <w:t>Disclosure of Corporate Governance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and other personnel will devote a substantial amount of time to regulatory compliance initiatives. Moreover, these rules and regulations have increased the Company’s legal and financial compliance costs and make some activities more time-consuming and costly. For example, these rules and regulations have made it more difficult and more expensive for the Company to obtain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testing, or any subsequent testing by the Company’s independent auditor, has in the past and may in the future reveal deficiencies in the Company’s internal control over financial reporting that are deemed to be material weaknesses. The Company will incur substantial accounting expense and expend significant management efforts to comply with internal control over financial reporting requirements. The Company currently does not have an internal audit group, and the Company anticipates hiring additional accounting and financial staff with appropriate public company experience and technical accounting knowledge. Moreover, if the Company is not able to comply with these requirements in a timely manner or if the Company or the Company’s independent auditor identifies deficiencies in the Company’s internal control over financial reporting that are deemed to be material weaknesses, the market price of the Common Shares could decline, and the Company could be subject to sanctions or investigations by applicable securities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material weakness is a deficiency, or a combination of deficiencies, in disclosure controls and procedures and internal control over financial reporting, such that there is a reasonable possibility that a material misstatement of our annual or interim financial statements will not be prevented or detected on a timely basis. Effective disclosure controls and procedures and internal control over financial reporting is necessary for us to provide reliable financial reporting and prevent fraud. Specifically, there was insufficient review of the classification of liabilities and equity under IAS 32 and the valuation of instruments in accordance with IFRS 13. Although we have remediated this material weakness, we may identify additional material weaknesses in the future. </w:t>
      </w:r>
    </w:p>
    <w:p>
      <w:pPr>
        <w:pStyle w:val="TextBody"/>
        <w:bidi w:val="0"/>
        <w:spacing w:before="240" w:after="0"/>
        <w:jc w:val="left"/>
        <w:rPr>
          <w:rFonts w:ascii="Times New Roman" w:hAnsi="Times New Roman"/>
          <w:sz w:val="20"/>
        </w:rPr>
      </w:pPr>
      <w:r>
        <w:rPr>
          <w:rFonts w:ascii="Times New Roman" w:hAnsi="Times New Roman"/>
          <w:sz w:val="20"/>
        </w:rPr>
        <w:t>As a Nasdaq-listed reporting issuer in the United States, we are required to comply with the requirements of the U.S. Exchange Act, Sarbanes-Oxley Act of 2002, as amended (the “</w:t>
      </w:r>
      <w:r>
        <w:rPr>
          <w:rFonts w:ascii="Times New Roman" w:hAnsi="Times New Roman"/>
          <w:b/>
          <w:sz w:val="20"/>
        </w:rPr>
        <w:t>Sarbanes-Oxley Act</w:t>
      </w:r>
      <w:r>
        <w:rPr>
          <w:rFonts w:ascii="Times New Roman" w:hAnsi="Times New Roman"/>
          <w:sz w:val="20"/>
        </w:rPr>
        <w:t xml:space="preserve">”), and the listing standards of Nasdaq,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U.S. Exchange Act is accumulated and communicated to our management, including our principal executive and financial officers. </w:t>
      </w:r>
    </w:p>
    <w:p>
      <w:pPr>
        <w:pStyle w:val="TextBody"/>
        <w:bidi w:val="0"/>
        <w:spacing w:before="240" w:after="0"/>
        <w:jc w:val="left"/>
        <w:rPr>
          <w:rFonts w:ascii="Times New Roman" w:hAnsi="Times New Roman"/>
          <w:sz w:val="20"/>
        </w:rPr>
      </w:pPr>
      <w:r>
        <w:rPr>
          <w:rFonts w:ascii="Times New Roman" w:hAnsi="Times New Roman"/>
          <w:sz w:val="20"/>
        </w:rPr>
        <w:t xml:space="preserve">We are also continuing to improve our internal control over financial reporting. Pursuant to the SEC rules that implement Section 404 of the Sarbanes-Oxley Act, beginning with our second annual report on Form 40-F after becoming subject to the reporting requirements of the U.S. Exchange Act, we are required to make a formal assessment of the effectiveness of our internal control over financial reporting. To achieve compliance with this requirement within the prescribed time period, we are engaged in a process to document and evaluate our internal control over financial reporting under such rules, which is both costly and challenging. In this regard, we will need to continue to dedicate internal resources, potentially engage outside consultants and adopt a detailed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to assess and document the adequacy of our internal control over financial reporting, validate through testing that controls are functioning as documented and implement a continuous reporting and improvement process for internal control over financial reporting. Despite our efforts,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has in the past and may in the future reveal deficiencies in our internal control over financial reporting that are deemed to be material weaknesses.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implement and maintain effective disclosure controls and procedures and internal control over financial reporting, including the identification of one or more material weaknesses, could adversely impact our ability to report our financial condition and results of operations on a timely and accurate basis and could cause investors to lose confidence in the accuracy and completeness of our financial statements and reports, which would likely adversely affect the market price of our Common Shares. In addition, we could be subject to sanctions or investigations by Nasdaq, the SEC and other regulatory authorities. We also face potential for litigation or other disputes which may include, among others, claims invoking the securities laws, contractual claims or other claims arising from the restatement and the material weakness in our disclosure controls and procedures and internal control over financial reporting and the preparation of our financial statements. As of the date of this prospectus, we have no knowledge of any such litigation or dispute. However, we can provide no assurance that such litigation or dispute will not arise in the future. Any such litigation or dispute, whether successful or not, could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Marketing, Reimbursement, Healthcare Regulations and Ongoing Regulatory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Coverage and reimbursement may be limited or unavailable in certain market segments for our product candidates, if approved, which could make it difficult for us to sell any product candidates or therapies, if approved, profitably.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product candidates, if approved, depends on the availability of adequate coverage and reimbursement from third-party payors, including government agencies. There is significant uncertainty related to the insurance coverage and reimbursement of newly approved products. Coverage may be more limited than the purposes for which a therapeutic is approved by the FDA or comparable regulatory authorities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and some other jurisdictions, patients who are provided medical treatment for their conditions generally rely on third-party payors to reimburse all or part of the costs associated with their treatment. Adequate coverage and reimbursement from governmental healthcare programs, such as Medicare and Medicaid in the United States, and commercial payors are critical to new product acceptance. </w:t>
      </w:r>
    </w:p>
    <w:p>
      <w:pPr>
        <w:pStyle w:val="TextBody"/>
        <w:bidi w:val="0"/>
        <w:spacing w:before="240" w:after="0"/>
        <w:jc w:val="left"/>
        <w:rPr>
          <w:rFonts w:ascii="Times New Roman" w:hAnsi="Times New Roman"/>
          <w:sz w:val="20"/>
        </w:rPr>
      </w:pPr>
      <w:r>
        <w:rPr>
          <w:rFonts w:ascii="Times New Roman" w:hAnsi="Times New Roman"/>
          <w:sz w:val="20"/>
        </w:rPr>
        <w:t>Government authorities and other third-party payors, such as private health insurers and health maintenance organizations, decide which drugs and treatments they will cover and the amount of reimbursement. In the United States, the principal decisions about reimbursement for new medicines are typically made by the Centers for Medicare &amp; Medicaid Services (“</w:t>
      </w:r>
      <w:r>
        <w:rPr>
          <w:rFonts w:ascii="Times New Roman" w:hAnsi="Times New Roman"/>
          <w:b/>
          <w:sz w:val="20"/>
        </w:rPr>
        <w:t>CMS</w:t>
      </w:r>
      <w:r>
        <w:rPr>
          <w:rFonts w:ascii="Times New Roman" w:hAnsi="Times New Roman"/>
          <w:sz w:val="20"/>
        </w:rPr>
        <w:t>”) an agency within the U.S. Department of Health and Human Services (“</w:t>
      </w:r>
      <w:r>
        <w:rPr>
          <w:rFonts w:ascii="Times New Roman" w:hAnsi="Times New Roman"/>
          <w:b/>
          <w:sz w:val="20"/>
        </w:rPr>
        <w:t>HHS</w:t>
      </w:r>
      <w:r>
        <w:rPr>
          <w:rFonts w:ascii="Times New Roman" w:hAnsi="Times New Roman"/>
          <w:sz w:val="20"/>
        </w:rPr>
        <w:t xml:space="preserve">”). CMS decides whether and to what extent a new medicine will be covered and reimbursed under Medicare, and private payors often follow CMS’ coverage decisions. Other jurisdictions have agencies, such as the National Institute for Health and Care Excellence in the UK and Canada’s Drug Agency in Canada, that evaluate the use and cost-effectiveness of therapies, which impact the utilization and price of the medicine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maintain pricing sufficient to achieve or sustain profitability or may require co-payments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We intend to seek approval to market our product candidates in different jurisdictions, which could include the United States, Canada and other selected foreign jurisdictions. If we obtain approval in any of these jurisdictions for our product candidates, we will be subject to rules and regulations in those jurisdictions. Market acceptance and sales will depend significantly on the availability of adequate coverage and reimbursement from third-party payors for our product candidates, if approved. In the U.S. and some foreign jurisdictions, there have been a number of legislative and regulatory changes and proposed changes regarding the healthcare system that could, among other things, restrict or regulate post-approval activities and affect our ability to profitably sell or commercialize any product candidate for which we, or our collaborators, obtain marketing approval. We expect that current laws, as well as other healthcare reform measures that may be adopted in the future, may result in more rigorous coverage criteria and in additional downward pressure on the price that we, or any collaborators, may receive for any product candidate for which we receive marketing approval. If reimbursement is unavailable or limited in scope, our business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physicians and third-party payors in the United States, Canada, and elsewhere play a primary role in the recommendation and prescription of any product candidates for which we obtain marketing approval. If we obtain FDA approval for any of our product candidates and begin commercializing those products in the United States,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U.S. federal, state and other healthcare laws and regulations laws that may affect our ability to operate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renumeration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False Claims Act (“</w:t>
            </w:r>
            <w:r>
              <w:rPr>
                <w:rFonts w:ascii="Times New Roman" w:hAnsi="Times New Roman"/>
                <w:b/>
                <w:sz w:val="20"/>
              </w:rPr>
              <w:t>FCA</w:t>
            </w:r>
            <w:r>
              <w:rPr>
                <w:rFonts w:ascii="Times New Roman" w:hAnsi="Times New Roman"/>
                <w:sz w:val="20"/>
              </w:rPr>
              <w:t xml:space="preserve">”). The Anti-Kickback Statute has been interpreted to apply to arrangements between pharmaceutical manufacturers on the one hand and prescribers, purchasers, and formulary managers, among others,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HITECH also created new tiers of civil monetary penalties, amended HIPAA to make civil and criminal penalties directly applicable to business associates and their covered subcontractors, and gave state attorneys general new authority to file civil actions for damages or injunctions in federal courts to enforce the federal HIPAA laws and seek attorneys’ fees and costs associated with pursuing federal civil actions. In addition, there are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Physician Payments Sunshine Act, created under the Patient Protection and Affordable Care Act, as amended by the Health Care and Education Reconciliation Act of 2010 (collectively, the “</w:t>
            </w:r>
            <w:r>
              <w:rPr>
                <w:rFonts w:ascii="Times New Roman" w:hAnsi="Times New Roman"/>
                <w:b/>
                <w:sz w:val="20"/>
              </w:rPr>
              <w:t>ACA</w:t>
            </w:r>
            <w:r>
              <w:rPr>
                <w:rFonts w:ascii="Times New Roman" w:hAnsi="Times New Roman"/>
                <w:sz w:val="20"/>
              </w:rPr>
              <w:t xml:space="preserve">”),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chiropractors, physician assistants, nurse practitioners, clinical nurse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specialists, certified nurse anesthetists, and certified nurse- midwives), certain non-physician providers such as physician assistants and nurse practitioners, and teaching hospitals, as well as ownership and investment interests held by the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price reporting laws, which require manufacturers to calculate and report complex pricing metrics to government programs, where such reported prices may be used in the calculation of reimbursement and/or discounts on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pharmaceutical companies to comply with the pharmaceutical industry’s voluntary compliance guidelines and other relevant compliance guidance promulgated by the federal government or otherwise restrict payments that may be made to healthcare providers and other potential referral sources, including the April 2003 Office of Inspector General Compliance Program Guidance for Pharmaceutical Manufacturers and/or the Pharmaceutical Research and Manufacturers of America’s Code on Interactions with Healthcare Professionals;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some of which may be more stringent than those in the United States (such as the European Union, which adopted the General Data Protection Regulation, which became effective in May 2018) in certain circumstances, and may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 aforementioned laws are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costly,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governmental and enforcement authorities will conclude that our business practices, including our arrangements with physicians and other healthcare providers,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a pharmaceutical manufacturer to incur significant legal expenses and divert management’s attention from the operation of the business. In addition, the approval and commercialization of any product candidate in other countries will also likely subject us to foreign equivalents of the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mentioned above, among other foreign laws. All of these could harm our ability to operate our business and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activities could be affected or delayed as a result of possible restrictions on animal testing. </w:t>
      </w:r>
    </w:p>
    <w:p>
      <w:pPr>
        <w:pStyle w:val="TextBody"/>
        <w:bidi w:val="0"/>
        <w:spacing w:before="120" w:after="0"/>
        <w:jc w:val="left"/>
        <w:rPr>
          <w:rFonts w:ascii="Times New Roman" w:hAnsi="Times New Roman"/>
          <w:sz w:val="20"/>
        </w:rPr>
      </w:pPr>
      <w:r>
        <w:rPr>
          <w:rFonts w:ascii="Times New Roman" w:hAnsi="Times New Roman"/>
          <w:sz w:val="20"/>
        </w:rPr>
        <w:t xml:space="preserve">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Ongoing healthcare legislative and regulatory reform measures may have a material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many foreign jurisdictions have enacted or proposed legislative and regulatory changes affecting the healthcare system,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bidi w:val="0"/>
        <w:spacing w:before="240" w:after="0"/>
        <w:jc w:val="left"/>
        <w:rPr>
          <w:rFonts w:ascii="Times New Roman" w:hAnsi="Times New Roman"/>
          <w:sz w:val="20"/>
        </w:rPr>
      </w:pPr>
      <w:r>
        <w:rPr>
          <w:rFonts w:ascii="Times New Roman" w:hAnsi="Times New Roman"/>
          <w:sz w:val="20"/>
        </w:rPr>
        <w:t>In the United States, The Patient Protection and Affordable Care Act, as amended by the Health Care and Education Reconciliation Act of 2010, (the “</w:t>
      </w:r>
      <w:r>
        <w:rPr>
          <w:rFonts w:ascii="Times New Roman" w:hAnsi="Times New Roman"/>
          <w:b/>
          <w:sz w:val="20"/>
        </w:rPr>
        <w:t>Affordable Care Act</w:t>
      </w:r>
      <w:r>
        <w:rPr>
          <w:rFonts w:ascii="Times New Roman" w:hAnsi="Times New Roman"/>
          <w:sz w:val="20"/>
        </w:rPr>
        <w:t xml:space="preserve">”), substantially regulates the way healthcare is financed by both governmental and private insurers in the United States. 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w:t>
      </w:r>
    </w:p>
    <w:p>
      <w:pPr>
        <w:pStyle w:val="TextBody"/>
        <w:bidi w:val="0"/>
        <w:spacing w:before="240" w:after="0"/>
        <w:jc w:val="left"/>
        <w:rPr>
          <w:rFonts w:ascii="Times New Roman" w:hAnsi="Times New Roman"/>
          <w:sz w:val="20"/>
        </w:rPr>
      </w:pPr>
      <w:r>
        <w:rPr>
          <w:rFonts w:ascii="Times New Roman" w:hAnsi="Times New Roman"/>
          <w:sz w:val="20"/>
        </w:rPr>
        <w:t xml:space="preserve">Changes to and under the Affordable Care Act remain possible but it is unknown what form any such changes or any law proposed to replace or revise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We also expect that the Affordable Care Act, as well as other healthcare reform measures that have and may be adopted in the future, may result in more rigorous coverage criteria and in additional downward pressure on the price that we receive for our product candidates, if approved. Any reduction in reimbursement from Medicare, Medicaid, or other government programs may result in a similar reduction in payments from private payers. Other legislative changes have been proposed and adopted in the United States since the ACA was enacted. For example, the American Rescue Plan Act of 2021 eliminated the statutory Medicaid drug rebate cap manufacturers pay to state Medicaid programs, elimination of this cap may require pharmaceutical manufacturers to pay more in rebates than it receives on the sale of products, which could have a material impact on our business. Moreover, payment methodologies may be subject to changes in healthcare legislation and regulatory initiatives. For example, the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first cycle of negotiations for the Medicare Drug Price Negotiation Program commenced in the summer of 2023. On August 15, 2024, the HHS published the negotiated maximum fair prices for ten selected Part D drugs that treat a range of conditions, including diabetes, chronic kidney disease, and rheumatoid arthritis. The prices of these ten drugs became effective on January 1, 2026. On January 17, 2025, CMS announced its selection of 15 additional Part D drugs for the second cycle of negotiations. The negotiated prices for this second group will be effective on January 1, 2027. While there had been some questions about the Trump Administration’s position on this program, on September 30, 2025, CMS issued final guidance for the third negotiation cycle. On January 27, 2026, CMS announced its selection of 15 additional drugs (covered under either Part B or Part D) for the third cycle of negotiations. The negotiated prices for this third group will be effective on January 1, 2028. CMS also selected one previously negotiated drug for the program’s first renegotiations.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In May 2025, President Trump issued an executive order implementing the concept of most-favored nation pricing. Under this order, the Department of Health and Human Services, in coordination with other federal agencies, is directed to take actions to ensure that the price of prescription drugs paid by federal health insurers, including Medicare and Medicaid, is in line with the prices paid in comparably developed nations. </w:t>
      </w:r>
    </w:p>
    <w:p>
      <w:pPr>
        <w:pStyle w:val="TextBody"/>
        <w:bidi w:val="0"/>
        <w:spacing w:before="240" w:after="0"/>
        <w:jc w:val="left"/>
        <w:rPr>
          <w:rFonts w:ascii="Times New Roman" w:hAnsi="Times New Roman"/>
          <w:sz w:val="20"/>
        </w:rPr>
      </w:pPr>
      <w:r>
        <w:rPr>
          <w:rFonts w:ascii="Times New Roman" w:hAnsi="Times New Roman"/>
          <w:sz w:val="20"/>
        </w:rPr>
        <w:t xml:space="preserve">As an alternative to the Affordable Care Act, President Trump recently announced the Great Healthcare Plan. As presented, the plan is intended to lower drug prices by increasing competition and benchmarking U.S. drug prices to other countries, reduce insurance premiums by redirecting subsidies from insurers to individuals, increase accountability and transparency from insurers, and promote consumer choice by giving individuals more direct control over how healthcare dollars are spent. Legislative and regulatory action will be required to fully implement the plan. It is unclear how these proposed changes will impact our business and the pharmaceutical industry in general.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Common Shares may be volatile and subject to wide fluctuations in response to numerous factors, many of which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fluctuate due to a variety of factors relative to our business,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product candidates or new uses for existing products, significant contracts, commercial relationships or capital commitments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any of our collaborators regarding our product candidates they are developing, including announcements regarding clinical or regulatory decisions or developments of our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any of our product candidates and any products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preclinical testing or clinical trials of our product candidates, leading to a decision or requirement to conduct additional preclinical testing or clinical trials or resulting in a decision to terminate the continued development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of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or delays in obtaining or maintaining product approvals or clearances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or reimbursement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collaborations, licenses,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or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including our collaborators, CROs, clinical trial sponsors and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Canada, the United States or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quarterly variations in our financial results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Shares by us, our insiders or our shareholders in the future, as well as the overall trading volume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other factors described in the section “</w:t>
            </w:r>
            <w:r>
              <w:rPr>
                <w:rFonts w:ascii="Times New Roman" w:hAnsi="Times New Roman"/>
                <w:i/>
                <w:sz w:val="20"/>
              </w:rPr>
              <w:t>Risk Factors</w:t>
            </w:r>
            <w:r>
              <w:rPr>
                <w:rFonts w:ascii="Times New Roman" w:hAnsi="Times New Roman"/>
                <w:sz w:val="20"/>
              </w:rPr>
              <w:t xml:space="preserve">” of our Annual Information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 of these and other factors on the market price of the Common Shares on the TSX, Nasdaq, or any other exchange that we list securities on in the future, cannot be predicted. There can be no assurance that the market price of the Common Shares will not experience significant fluctuations in the future, including fluctuations that are unrelated to our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may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Common Shares is speculative and may result in the loss of an investor’s entire investment in the Company. Only investors who are experienced in high-risk investments and who can afford to lose their entire investment should consider an investment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dividends. </w:t>
      </w:r>
    </w:p>
    <w:p>
      <w:pPr>
        <w:pStyle w:val="TextBody"/>
        <w:bidi w:val="0"/>
        <w:spacing w:before="120" w:after="0"/>
        <w:jc w:val="left"/>
        <w:rPr>
          <w:rFonts w:ascii="Times New Roman" w:hAnsi="Times New Roman"/>
          <w:sz w:val="20"/>
        </w:rPr>
      </w:pPr>
      <w:r>
        <w:rPr>
          <w:rFonts w:ascii="Times New Roman" w:hAnsi="Times New Roman"/>
          <w:sz w:val="20"/>
        </w:rPr>
        <w:t xml:space="preserve">To date, the Company has not paid any dividends on the outstanding Common Shares. We currently intend to retain future earnings to finance the operation, development and expansion of our business. We do not anticipate paying cash dividends on the Common Shares in the foreseeable future. Any decision to pay dividends on its shares will be made at the discretion of the Board and will depend on the Company’s earnings, financial requirements and other conditions existing at such time, including potential restrictions on paying dividends pursuant to any effective credit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existing executive officers and directors own a significant percentage of Common Shares and may have a significant impact over matters submitted to the Company’s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current executive officers and directors own approximately 9.70% of the issued Common Shares as of June 30, 2026. As a result, these shareholders, if they acted together, could significantly impact all matters requiring approval by the Company’s shareholders, including the election of directors and the approval of mergers or other business combination transactions. The interests of these shareholders may not always coincide with the Company’s interests or the interests of other shareholders. This may also prevent or discourage unsolicited acquisition proposals or offers for the Common Shares that other shareholders may feel are in their best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Shares by our existing shareholders could cause the Company’s share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securities laws, the Company’s officers, directors and significant shareholders may sell some or all of their Common Shares in the future. No prediction can be made as to the effect, if any, such future sales of Common Shares will have on the market price of the Common Shares prevailing from time to time. However, the future sale of a substantial number of Common Shares by the Company’s officers, directors and significant shareholders or the perception that such sales could occur, could adversely affect prevailing market prices for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raise additional financing in the future which may dilute our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Articles permit the issuance of an unlimited number of Common Shares. Future issuances of Common Shares will result in dilution to the existing shareholders. Additionally, future sales of the Common Shares into the public market may lower the market price that may result in losses to the Company’s shareholders. The Company may, from time to time, issue stock options to purchase additional Common Shares in accordance with the policies of the TSX and Nasdaq. Most of these Common Shares, including the Common Shares to be issued upon exercise of options, are freely tradable or will be freely tradeable after a four-month restriction period. Sales of substantial amounts of the Common Shares into the public market, or even the perception by the market that such sales may occur, may lower the market price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Common Shares will be influenced in part by the research and reports that securities or industry analysts may publish about us, our business, our market or our competitors. If one or more securities analysts initiate research with an unfavorable rating or downgrade our Common Shares, provide a more favorable recommendation about our competitors or publish inaccurate or unfavorable research about our business, our Common Shares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Shares to decline. </w:t>
      </w:r>
    </w:p>
    <w:p>
      <w:pPr>
        <w:pStyle w:val="TextBody"/>
        <w:bidi w:val="0"/>
        <w:spacing w:before="480" w:after="0"/>
        <w:jc w:val="center"/>
        <w:rPr>
          <w:rFonts w:ascii="Times New Roman" w:hAnsi="Times New Roman"/>
          <w:b/>
          <w:sz w:val="20"/>
        </w:rPr>
      </w:pPr>
      <w:bookmarkStart w:id="36" w:name="toc142683_6"/>
      <w:bookmarkEnd w:id="3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any offering of Securities and the proposed use of those proceeds will be set forth in the applicable prospectus supplement relating to that offering of Securities. The Company will not receive any proceeds from any sale of any Securities by selling securityholders. </w:t>
      </w:r>
    </w:p>
    <w:p>
      <w:pPr>
        <w:pStyle w:val="TextBody"/>
        <w:bidi w:val="0"/>
        <w:spacing w:before="240" w:after="0"/>
        <w:jc w:val="left"/>
        <w:rPr>
          <w:rFonts w:ascii="Times New Roman" w:hAnsi="Times New Roman"/>
          <w:sz w:val="20"/>
        </w:rPr>
      </w:pPr>
      <w:r>
        <w:rPr>
          <w:rFonts w:ascii="Times New Roman" w:hAnsi="Times New Roman"/>
          <w:sz w:val="20"/>
        </w:rPr>
        <w:t>By the nature of its business as a clinical-stage pharmaceutical company, the Company had negative operating cash flow for its most recent interim financial period and financial year. To the extent the Company has negative cashflows in future periods, the Company may use a portion of its general working capital to fund such negative cash flow. See “</w:t>
      </w:r>
      <w:r>
        <w:rPr>
          <w:rFonts w:ascii="Times New Roman" w:hAnsi="Times New Roman"/>
          <w:i/>
          <w:sz w:val="20"/>
        </w:rPr>
        <w:t>Risk Factors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37" w:name="toc142683_7"/>
      <w:bookmarkEnd w:id="37"/>
      <w:r>
        <w:rPr>
          <w:rFonts w:ascii="Times New Roman" w:hAnsi="Times New Roman"/>
          <w:b/>
          <w:sz w:val="20"/>
        </w:rPr>
        <w:t xml:space="preserve">CONSOLIDATED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Since June 30, 2026, the date of our unaudited interim condensed consolidated financial statements for the three and six months ended June 30, 2026, there have been no material changes in our consolidated share or debt capital. </w:t>
      </w:r>
    </w:p>
    <w:p>
      <w:pPr>
        <w:pStyle w:val="TextBody"/>
        <w:bidi w:val="0"/>
        <w:spacing w:before="480" w:after="0"/>
        <w:jc w:val="center"/>
        <w:rPr>
          <w:rFonts w:ascii="Times New Roman" w:hAnsi="Times New Roman"/>
          <w:b/>
          <w:sz w:val="20"/>
        </w:rPr>
      </w:pPr>
      <w:bookmarkStart w:id="38" w:name="toc142683_8"/>
      <w:bookmarkEnd w:id="38"/>
      <w:r>
        <w:rPr>
          <w:rFonts w:ascii="Times New Roman" w:hAnsi="Times New Roman"/>
          <w:b/>
          <w:sz w:val="20"/>
        </w:rPr>
        <w:t xml:space="preserve">PRIOR SALES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our Common Shares that we issued within the previous twelve-month period, including Common Shares that we issued upon the exercise of stock options or the settlement of performance share units granted under our equity incentive plans, will be provided as required in a prospectus supplement with respect to the issuance of Securities pursuant to such prospectus supplement. </w:t>
      </w:r>
    </w:p>
    <w:p>
      <w:pPr>
        <w:pStyle w:val="TextBody"/>
        <w:bidi w:val="0"/>
        <w:spacing w:before="480" w:after="0"/>
        <w:jc w:val="center"/>
        <w:rPr>
          <w:rFonts w:ascii="Times New Roman" w:hAnsi="Times New Roman"/>
          <w:b/>
          <w:sz w:val="20"/>
        </w:rPr>
      </w:pPr>
      <w:bookmarkStart w:id="39" w:name="toc142683_9"/>
      <w:bookmarkEnd w:id="39"/>
      <w:r>
        <w:rPr>
          <w:rFonts w:ascii="Times New Roman" w:hAnsi="Times New Roman"/>
          <w:b/>
          <w:sz w:val="20"/>
        </w:rPr>
        <w:t xml:space="preserve">TRADING PRICE AND VOLUME </w:t>
      </w:r>
    </w:p>
    <w:p>
      <w:pPr>
        <w:pStyle w:val="TextBody"/>
        <w:bidi w:val="0"/>
        <w:spacing w:before="240" w:after="0"/>
        <w:jc w:val="left"/>
        <w:rPr>
          <w:rFonts w:ascii="Times New Roman" w:hAnsi="Times New Roman"/>
          <w:sz w:val="20"/>
        </w:rPr>
      </w:pPr>
      <w:r>
        <w:rPr>
          <w:rFonts w:ascii="Times New Roman" w:hAnsi="Times New Roman"/>
          <w:sz w:val="20"/>
        </w:rPr>
        <w:t xml:space="preserve">The Common Shares are listed and posted for trading on the TSX and Nasdaq under the symbol “EPRX”. Trading price and volume information for the Company’s Securities listed on the TSX and Nasdaq will be provided as required in each prospectus supplement to this prospectus. </w:t>
      </w:r>
    </w:p>
    <w:p>
      <w:pPr>
        <w:pStyle w:val="TextBody"/>
        <w:bidi w:val="0"/>
        <w:spacing w:before="480" w:after="0"/>
        <w:jc w:val="center"/>
        <w:rPr>
          <w:rFonts w:ascii="Times New Roman" w:hAnsi="Times New Roman"/>
          <w:b/>
          <w:sz w:val="20"/>
        </w:rPr>
      </w:pPr>
      <w:bookmarkStart w:id="40" w:name="toc142683_10"/>
      <w:bookmarkEnd w:id="40"/>
      <w:r>
        <w:rPr>
          <w:rFonts w:ascii="Times New Roman" w:hAnsi="Times New Roman"/>
          <w:b/>
          <w:sz w:val="20"/>
        </w:rPr>
        <w:t xml:space="preserve">EARNINGS COVERAGE </w:t>
      </w:r>
    </w:p>
    <w:p>
      <w:pPr>
        <w:pStyle w:val="TextBody"/>
        <w:bidi w:val="0"/>
        <w:spacing w:before="240" w:after="0"/>
        <w:jc w:val="left"/>
        <w:rPr>
          <w:rFonts w:ascii="Times New Roman" w:hAnsi="Times New Roman"/>
          <w:sz w:val="20"/>
        </w:rPr>
      </w:pPr>
      <w:r>
        <w:rPr>
          <w:rFonts w:ascii="Times New Roman" w:hAnsi="Times New Roman"/>
          <w:sz w:val="20"/>
        </w:rPr>
        <w:t xml:space="preserve">If we offer debt securities having a term to maturity in excess of one year under this prospectus and any applicable prospectus supplement, the applicable prospectus supplement will include earnings coverage ratios giving effect to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oc142683_11"/>
      <w:bookmarkEnd w:id="41"/>
      <w:r>
        <w:rPr>
          <w:rFonts w:ascii="Times New Roman" w:hAnsi="Times New Roman"/>
          <w:b/>
          <w:sz w:val="20"/>
        </w:rPr>
        <w:t xml:space="preserve">DESCRIPTION OF SHARE CAPITAL </w:t>
      </w:r>
    </w:p>
    <w:p>
      <w:pPr>
        <w:pStyle w:val="TextBody"/>
        <w:bidi w:val="0"/>
        <w:spacing w:before="240" w:after="0"/>
        <w:jc w:val="left"/>
        <w:rPr>
          <w:rFonts w:ascii="Times New Roman" w:hAnsi="Times New Roman"/>
          <w:sz w:val="20"/>
        </w:rPr>
      </w:pPr>
      <w:r>
        <w:rPr>
          <w:rFonts w:ascii="Times New Roman" w:hAnsi="Times New Roman"/>
          <w:i/>
          <w:sz w:val="20"/>
        </w:rPr>
        <w:t>The following description of our share capital summarizes certain provisions contained in our notice of articles and articles (the “</w:t>
      </w:r>
      <w:r>
        <w:rPr>
          <w:rFonts w:ascii="Times New Roman" w:hAnsi="Times New Roman"/>
          <w:b/>
          <w:i/>
          <w:sz w:val="20"/>
        </w:rPr>
        <w:t>Articles</w:t>
      </w:r>
      <w:r>
        <w:rPr>
          <w:rFonts w:ascii="Times New Roman" w:hAnsi="Times New Roman"/>
          <w:sz w:val="20"/>
        </w:rPr>
        <w:t>”</w:t>
      </w:r>
      <w:r>
        <w:rPr>
          <w:rFonts w:ascii="Times New Roman" w:hAnsi="Times New Roman"/>
          <w:i/>
          <w:sz w:val="20"/>
        </w:rPr>
        <w:t xml:space="preserve">). These summaries do not purport to be complete and are subject to, and are qualified in their entirety by reference to, all of the provisions of our Articles.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capital of the Company consists of (i) an unlimited number of Common Shares without par value and (ii) an unlimited number of preferred shares without par value, issuable in series. As of the date of this prospectus, the Company had 66,073,373 Common Shares and 8,295,638 Series 1 Preferred Shares issued and outstanding. The maximum number of additional Common Shares issuable, should all convertible rights be exercised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1"/>
        <w:gridCol w:w="275"/>
        <w:gridCol w:w="60"/>
        <w:gridCol w:w="1100"/>
        <w:gridCol w:w="63"/>
      </w:tblGrid>
      <w:tr>
        <w:trPr/>
        <w:tc>
          <w:tcPr>
            <w:tcW w:w="5441"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Common Shares Issuable:</w:t>
            </w:r>
          </w:p>
        </w:tc>
        <w:tc>
          <w:tcPr>
            <w:tcW w:w="275"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the</w:t>
              <w:br/>
              <w:t>date of</w:t>
              <w:br/>
              <w:t>Prospectus</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7,656,100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 Units(2)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1,549,374</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2013 Warrants(3)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93,421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Founders Warrants(4)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215,000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Underlying Founders Warrants(5)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215,000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Class B Shares(6)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562,500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1,428,571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8,295,638</w:t>
            </w:r>
          </w:p>
        </w:tc>
        <w:tc>
          <w:tcPr>
            <w:tcW w:w="63" w:type="dxa"/>
            <w:tcBorders/>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Common Shares Issuable</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20,015,604</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Represents 4,739,592 options outstanding under the Company’s stock option plan, each having an exercise price between C$1.90 and C$8.00 and expiry dates ranging from March 5, 2028 to May 13, 2035 in addition to 2,916,508 options outstanding under the Company’s Omnibus Incentive Plan (“</w:t>
            </w:r>
            <w:r>
              <w:rPr>
                <w:rFonts w:ascii="Times New Roman" w:hAnsi="Times New Roman"/>
                <w:b/>
                <w:sz w:val="20"/>
              </w:rPr>
              <w:t>OIP</w:t>
            </w:r>
            <w:r>
              <w:rPr>
                <w:rFonts w:ascii="Times New Roman" w:hAnsi="Times New Roman"/>
                <w:sz w:val="20"/>
              </w:rPr>
              <w:t xml:space="preserve">”), each having an exercise price between C$8.63 and C$9.46 and expiry dates ranging from December 15, 2035 to July 13, 2036.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1,549,374 Restricted Share Units outstanding under the Company’s OIP.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 purchase warrants to acquire up to 93,421 Common Shares at an exercise price of C$0.7572 per share, with each such common share purchase warrant expiring 120 days after the warrant holder or the holder’s spouse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common share purchase warrants to acquire 215,000 units, with each unit consisting of one Common Share and one underlying common share purchase warrant (an “</w:t>
            </w:r>
            <w:r>
              <w:rPr>
                <w:rFonts w:ascii="Times New Roman" w:hAnsi="Times New Roman"/>
                <w:b/>
                <w:sz w:val="20"/>
              </w:rPr>
              <w:t>Underlying Founder Warrant</w:t>
            </w:r>
            <w:r>
              <w:rPr>
                <w:rFonts w:ascii="Times New Roman" w:hAnsi="Times New Roman"/>
                <w:sz w:val="20"/>
              </w:rPr>
              <w:t xml:space="preserve">”) at an exercise price of C$0.4984 per unit, expiring 120 days after the warrant holder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Underlying Founder Warrants to acquire up to 215,000 Common Shares, at an exercise price of C$0.75 per share, expiring two years from the date of exercise of the Underlying Founder Warrant.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562,500 Common Shares that are issuable upon conversion of the 225 Class B Shares of Eupraxia Pharma Inc., the Company’s subsidiary, held by Amanda Malone, the former Chief Scientific Officer of the Company. Each Class B Share is exchangeable into Common Shares based on an exchange rate of 2,500 Common Shares for each Class B Share, subject to adjustments upon the occurrence of certain events, for a total of 562,500 Common Shares. The Class B Shares are exchangeable by Ms. Malone at her election, provided that the Company may force the exchange of the Class B Shares into Common Shares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de minimis number of Class B Shares outstanding. If the Company is listed on a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exchange at the time of the applicable exchange, the Company may elect to pay Ms. Malone cash in lieu of issuing Common Shares, with such cash amount to be determined based on the then current market price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entitles the holder thereof to acquire one Common Share at a price of $6.99999 per Pre-Funded Warrant, which equals the public offering price per Common Share less the $0.000001 per share exercise price of each Pre-Funded Warrant following the closing date of the 2026 Offering being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8,295,638 Common Shares that are issuable on a one-to-one basis for no additional consideration upon conversion of the 8,295,638 Preferred Shares. Of the original 8,905,638 preferred shares issued on October 31, 2024, 50,000 have been converted to common shares as of the date 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entitles the holder thereof to one vote at any meeting of our shareholders. The holders of Common Shares are entitled to receive if, as and when declared by the Board, dividends in such amounts as shall be determined by the Board. After the holders of preferred shares have first received from the property and assets of the Company the amount they are entitled to, the holders of Common Shares have the right to receive the Company’s remaining property and assets in the event of a liquidation, dissolution or winding-up, whether voluntary or involuntary. The Common Shares do not carry any pre-emptive, subscription, redemption or conversion rights, nor do they contain any sinking or purchase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preferred shares from time to time in one or more series. The terms of each series of preferred shares, including the number of shares, the designation, rights, preferences, privileges, priorities, restrictions, conditions and limitations, will be determined at the time of creation of each such series by our Board, without shareholder approval, provided that all preferred shares will rank equally within their class as to dividends and distributions in the event of our dissolution, liquidation or winding-up. The preferred shares are entitled to priority over the Common Shares with respect to the distribution of assets of the Company in the event of any liquidation, dissolution or winding up of the Company’s affairs, whether voluntary or involuntary. The preferred shares are only entitled to the voting rights and dividends as provided in the special rights and restrictions attached to any particular series. </w:t>
      </w:r>
    </w:p>
    <w:p>
      <w:pPr>
        <w:pStyle w:val="TextBody"/>
        <w:bidi w:val="0"/>
        <w:spacing w:before="480" w:after="0"/>
        <w:jc w:val="center"/>
        <w:rPr>
          <w:rFonts w:ascii="Times New Roman" w:hAnsi="Times New Roman"/>
          <w:b/>
          <w:sz w:val="20"/>
        </w:rPr>
      </w:pPr>
      <w:bookmarkStart w:id="42" w:name="toc142683_12"/>
      <w:bookmarkEnd w:id="4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 offered separately or in combination with one or more other securities of the Company. The Company may, from time to time, issue debt securities and incur additional indebtedness other than through the issue of debt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The debt securities will be issued under one or more indentures (each, a “</w:t>
      </w:r>
      <w:r>
        <w:rPr>
          <w:rFonts w:ascii="Times New Roman" w:hAnsi="Times New Roman"/>
          <w:b/>
          <w:sz w:val="20"/>
        </w:rPr>
        <w:t>Trust Indenture</w:t>
      </w:r>
      <w:r>
        <w:rPr>
          <w:rFonts w:ascii="Times New Roman" w:hAnsi="Times New Roman"/>
          <w:sz w:val="20"/>
        </w:rPr>
        <w:t>”), in each case between the Company and a financial institution or trust company organized under the laws of Canada or any province or territory thereof and authorized to carry on business as a trustee (each, a “</w:t>
      </w:r>
      <w:r>
        <w:rPr>
          <w:rFonts w:ascii="Times New Roman" w:hAnsi="Times New Roman"/>
          <w:b/>
          <w:sz w:val="20"/>
        </w:rPr>
        <w:t>Trustee</w:t>
      </w:r>
      <w:r>
        <w:rPr>
          <w:rFonts w:ascii="Times New Roman" w:hAnsi="Times New Roman"/>
          <w:sz w:val="20"/>
        </w:rPr>
        <w:t>”). Such indenture will be subject to and governed by the United States Trust Indenture Act of 1939, as amended (the “</w:t>
      </w:r>
      <w:r>
        <w:rPr>
          <w:rFonts w:ascii="Times New Roman" w:hAnsi="Times New Roman"/>
          <w:b/>
          <w:sz w:val="20"/>
        </w:rPr>
        <w:t>Trust Indenture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on SEDAR+ at www.sedarplus.ca and EDGAR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for debt securities supplementing this prospectus will contain the specific terms and other information with respect to the debt securities being offered thereby,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principal amount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 on the debt securities will be senior or subordinated to other liabilities or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payment of the debt securities will be guaranteed by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the Company will pay principal, premium, if any, and interest, if any, and the place or places where debt securities can be presented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be obligated to redeem or repurchase the debt securities pursuant to any sinking or purchase fund or other provisions, or at the option of a holder, and the terms and conditions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may redeem the debt securities at its option and the terms and conditions of any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Company will issue any registered and unregistered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payments on the debt securities will be payable with reference to any index or formula;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Global Securities (as defined below) and, if so, the identity of the Depositary (as defined below)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unregistered securities (with or without coupons),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within which and the terms and conditions, if any, upon which the Company may redeem the debt securities prior to maturity and the price or prices of which, and the currency or currency units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under which debt securities may be defeased, whether at or prior to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holders of any series of debt securities have special rights if specified events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redemption or sinking fund or analogous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for any conversion or exchange of the debt securities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if any, on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any rights or terms attaching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under the Trust Indenture pursuant to which the debt securities are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undertake to list the debt securities of the series on any securities exchange or automated interdealer quotation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debt securities bearing no interest or interest at a rate below the prevailing market rate at the time of issuance, and offer and sell these debt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and U.S. federal income tax consequences and other special considerations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and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the extent and manner, if any, to which payment on or in respect of a series of debt securities will be senior or will be subordinated to the prior payment of our other liabilities and obligations and whether the payment of principal, premium, if any, and interest, if any, will be guaranteed by any other person and the nature and priority of any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of Debt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Debt Securities in Book Entry Form </w:t>
      </w:r>
    </w:p>
    <w:p>
      <w:pPr>
        <w:pStyle w:val="TextBody"/>
        <w:bidi w:val="0"/>
        <w:spacing w:before="120" w:after="0"/>
        <w:jc w:val="left"/>
        <w:rPr>
          <w:rFonts w:ascii="Times New Roman" w:hAnsi="Times New Roman"/>
          <w:sz w:val="20"/>
        </w:rPr>
      </w:pPr>
      <w:r>
        <w:rPr>
          <w:rFonts w:ascii="Times New Roman" w:hAnsi="Times New Roman"/>
          <w:sz w:val="20"/>
        </w:rPr>
        <w:t>Unless otherwise indicated in an applicable prospectus supplement, debt securities of any series may be issued in whole or in part in the form of one or more global securities (“</w:t>
      </w:r>
      <w:r>
        <w:rPr>
          <w:rFonts w:ascii="Times New Roman" w:hAnsi="Times New Roman"/>
          <w:b/>
          <w:sz w:val="20"/>
        </w:rPr>
        <w:t>Global Securities</w:t>
      </w:r>
      <w:r>
        <w:rPr>
          <w:rFonts w:ascii="Times New Roman" w:hAnsi="Times New Roman"/>
          <w:sz w:val="20"/>
        </w:rPr>
        <w:t>”) registered in the name of a designated clearing agency (a “</w:t>
      </w:r>
      <w:r>
        <w:rPr>
          <w:rFonts w:ascii="Times New Roman" w:hAnsi="Times New Roman"/>
          <w:b/>
          <w:sz w:val="20"/>
        </w:rPr>
        <w:t>Depositary</w:t>
      </w:r>
      <w:r>
        <w:rPr>
          <w:rFonts w:ascii="Times New Roman" w:hAnsi="Times New Roman"/>
          <w:sz w:val="20"/>
        </w:rPr>
        <w:t xml:space="preserve">”)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hAnsi="Times New Roman"/>
          <w:b/>
          <w:sz w:val="20"/>
        </w:rPr>
        <w:t>Participants</w:t>
      </w:r>
      <w:r>
        <w:rPr>
          <w:rFonts w:ascii="Times New Roman" w:hAnsi="Times New Roman"/>
          <w:sz w:val="20"/>
        </w:rPr>
        <w:t xml:space="preserve">”).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 The laws of some states in the United States may require that certain purchasers of securities take physical delivery of such securities in definitive form.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 </w:t>
      </w:r>
    </w:p>
    <w:p>
      <w:pPr>
        <w:pStyle w:val="TextBody"/>
        <w:bidi w:val="0"/>
        <w:spacing w:before="240" w:after="0"/>
        <w:jc w:val="left"/>
        <w:rPr>
          <w:rFonts w:ascii="Times New Roman" w:hAnsi="Times New Roman"/>
          <w:sz w:val="20"/>
        </w:rPr>
      </w:pPr>
      <w:r>
        <w:rPr>
          <w:rFonts w:ascii="Times New Roman" w:hAnsi="Times New Roman"/>
          <w:sz w:val="20"/>
        </w:rPr>
        <w:t xml:space="preserve">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 </w:t>
      </w:r>
    </w:p>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 </w:t>
      </w:r>
    </w:p>
    <w:p>
      <w:pPr>
        <w:pStyle w:val="TextBody"/>
        <w:bidi w:val="0"/>
        <w:spacing w:before="240" w:after="0"/>
        <w:jc w:val="left"/>
        <w:rPr>
          <w:rFonts w:ascii="Times New Roman" w:hAnsi="Times New Roman"/>
          <w:sz w:val="20"/>
        </w:rPr>
      </w:pPr>
      <w:r>
        <w:rPr>
          <w:rFonts w:ascii="Times New Roman" w:hAnsi="Times New Roman"/>
          <w:sz w:val="20"/>
        </w:rPr>
        <w:t xml:space="preserve">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CDS Clearing and Depository Services Inc. or its successor will act as Depositary for any debt securities represented by a Global Security. </w:t>
      </w:r>
    </w:p>
    <w:p>
      <w:pPr>
        <w:pStyle w:val="TextBody"/>
        <w:bidi w:val="0"/>
        <w:spacing w:before="360" w:after="0"/>
        <w:jc w:val="left"/>
        <w:rPr>
          <w:rFonts w:ascii="Times New Roman" w:hAnsi="Times New Roman"/>
          <w:i/>
          <w:sz w:val="20"/>
        </w:rPr>
      </w:pPr>
      <w:r>
        <w:rPr>
          <w:rFonts w:ascii="Times New Roman" w:hAnsi="Times New Roman"/>
          <w:i/>
          <w:sz w:val="20"/>
        </w:rPr>
        <w:t xml:space="preserve">Debt Securities in Certificated Form </w:t>
      </w:r>
    </w:p>
    <w:p>
      <w:pPr>
        <w:pStyle w:val="TextBody"/>
        <w:bidi w:val="0"/>
        <w:spacing w:before="120" w:after="0"/>
        <w:jc w:val="left"/>
        <w:rPr>
          <w:rFonts w:ascii="Times New Roman" w:hAnsi="Times New Roman"/>
          <w:sz w:val="20"/>
        </w:rPr>
      </w:pPr>
      <w:r>
        <w:rPr>
          <w:rFonts w:ascii="Times New Roman" w:hAnsi="Times New Roman"/>
          <w:sz w:val="20"/>
        </w:rPr>
        <w:t xml:space="preserve">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 </w:t>
      </w:r>
    </w:p>
    <w:p>
      <w:pPr>
        <w:pStyle w:val="TextBody"/>
        <w:bidi w:val="0"/>
        <w:spacing w:before="480" w:after="0"/>
        <w:jc w:val="center"/>
        <w:rPr>
          <w:rFonts w:ascii="Times New Roman" w:hAnsi="Times New Roman"/>
          <w:b/>
          <w:sz w:val="20"/>
        </w:rPr>
      </w:pPr>
      <w:bookmarkStart w:id="43" w:name="toc142683_13"/>
      <w:bookmarkEnd w:id="43"/>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general terms that will apply to any warrants for the purchase of Common Shares, or equity warrants, or for the purchase of debt securities, or debt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and the United States after we have entered into it, and will be available electronically on SEDAR+ at www.sedarplus.ca and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warrants that we offer will describe the particular terms of those warrants and include specific terms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Original purchasers of warrants (if offered separately) in Canada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240" w:after="0"/>
        <w:jc w:val="left"/>
        <w:rPr>
          <w:rFonts w:ascii="Times New Roman" w:hAnsi="Times New Roman"/>
          <w:sz w:val="20"/>
        </w:rPr>
      </w:pPr>
      <w:r>
        <w:rPr>
          <w:rFonts w:ascii="Times New Roman" w:hAnsi="Times New Roman"/>
          <w:sz w:val="20"/>
        </w:rPr>
        <w:t xml:space="preserve">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Equity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equity warrants will be described in the applicable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equity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equity warrants will be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equity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Common Shares that may be purchased upon exercise of each equity warrant and the price at which and currency or currencies in which the Common Shares may be purchased upon exercise of each equity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provisions allowing or providing for adjustments in (i) the number and/or class of shares that may be purchased, (ii) the exercise price per share or (iii) the expiry of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equity warrants or the underlying shares on a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equity warrants will be offered, if any, and the number of the equity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equity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equity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equity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equity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debt warrants will be described in the related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debt warrants are being offered, if any, and the number of the debt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debt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and designation of debt securities that may be purchased upon exercise of each debt warrant and the price at which and currency or currencies in which that principal amount of debt securities may be purchased upon exercise of each debt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debt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debt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debt warrants or the underlying debt securities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debt warrants;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will not have any of the rights of holders of the securities subject to the warrants. </w:t>
      </w:r>
    </w:p>
    <w:p>
      <w:pPr>
        <w:pStyle w:val="TextBody"/>
        <w:bidi w:val="0"/>
        <w:spacing w:before="480" w:after="0"/>
        <w:jc w:val="center"/>
        <w:rPr>
          <w:rFonts w:ascii="Times New Roman" w:hAnsi="Times New Roman"/>
          <w:b/>
          <w:sz w:val="20"/>
        </w:rPr>
      </w:pPr>
      <w:bookmarkStart w:id="44" w:name="toc142683_14"/>
      <w:bookmarkEnd w:id="4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units, which may consist of one or more of Common Shares, preferred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units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units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Securities comprising the units and any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Securities comprising the units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units or any of the individual Securities comprising the units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Canadian income tax consequences of owning the units, including, how the purchase price paid for the units will be allocated among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units. </w:t>
            </w:r>
          </w:p>
        </w:tc>
      </w:tr>
    </w:tbl>
    <w:p>
      <w:pPr>
        <w:pStyle w:val="TextBody"/>
        <w:bidi w:val="0"/>
        <w:spacing w:before="480" w:after="0"/>
        <w:jc w:val="center"/>
        <w:rPr>
          <w:rFonts w:ascii="Times New Roman" w:hAnsi="Times New Roman"/>
          <w:b/>
          <w:sz w:val="20"/>
        </w:rPr>
      </w:pPr>
      <w:bookmarkStart w:id="45" w:name="toc142683_15"/>
      <w:bookmarkEnd w:id="45"/>
      <w:r>
        <w:rPr>
          <w:rFonts w:ascii="Times New Roman" w:hAnsi="Times New Roman"/>
          <w:b/>
          <w:sz w:val="20"/>
        </w:rPr>
        <w:t xml:space="preserve">DESCRIPTION OF SUBSCRIPTION RECEIPTS </w:t>
      </w:r>
    </w:p>
    <w:p>
      <w:pPr>
        <w:pStyle w:val="TextBody"/>
        <w:bidi w:val="0"/>
        <w:spacing w:before="240" w:after="0"/>
        <w:jc w:val="left"/>
        <w:rPr>
          <w:rFonts w:ascii="Times New Roman" w:hAnsi="Times New Roman"/>
          <w:sz w:val="20"/>
        </w:rPr>
      </w:pPr>
      <w:r>
        <w:rPr>
          <w:rFonts w:ascii="Times New Roman" w:hAnsi="Times New Roman"/>
          <w:sz w:val="20"/>
        </w:rPr>
        <w:t>We may issue subscription receipts separately or in combination with one or more other Securities, which will entitle holders thereof to receive, upon satisfaction of certain release conditions (the “</w:t>
      </w:r>
      <w:r>
        <w:rPr>
          <w:rFonts w:ascii="Times New Roman" w:hAnsi="Times New Roman"/>
          <w:b/>
          <w:sz w:val="20"/>
        </w:rPr>
        <w:t>Release Conditions</w:t>
      </w:r>
      <w:r>
        <w:rPr>
          <w:rFonts w:ascii="Times New Roman" w:hAnsi="Times New Roman"/>
          <w:sz w:val="20"/>
        </w:rPr>
        <w:t>”) and for no additional consideration, Common Shares, preferred shares, warrants, debt securities or any combination thereof. Subscription receipts will be issued pursuant to one or more subscription receipt agreements (each, a “</w:t>
      </w:r>
      <w:r>
        <w:rPr>
          <w:rFonts w:ascii="Times New Roman" w:hAnsi="Times New Roman"/>
          <w:b/>
          <w:sz w:val="20"/>
        </w:rPr>
        <w:t>Subscription Receipt Agreement</w:t>
      </w:r>
      <w:r>
        <w:rPr>
          <w:rFonts w:ascii="Times New Roman" w:hAnsi="Times New Roman"/>
          <w:sz w:val="20"/>
        </w:rPr>
        <w:t>”), the material terms of which will be described in the applicable prospectus supplement, each to be entered into between the Company and an escrow agent (the “</w:t>
      </w:r>
      <w:r>
        <w:rPr>
          <w:rFonts w:ascii="Times New Roman" w:hAnsi="Times New Roman"/>
          <w:b/>
          <w:sz w:val="20"/>
        </w:rPr>
        <w:t>Escrow Agent</w:t>
      </w:r>
      <w:r>
        <w:rPr>
          <w:rFonts w:ascii="Times New Roman" w:hAnsi="Times New Roman"/>
          <w:sz w:val="20"/>
        </w:rPr>
        <w:t xml:space="preserve">”) that will be named in the relevant prospectus supplement. Each Escrow Agent will be a financial institution organized under the laws of Canada or a province or territory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and the United States after it has been entered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and the Subscription Receipt Agreement for any subscription receipts that we may offer will describe the specific terms of the subscription receipts offered. This description may include, but may not be limited to, any of the following,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subscription receipts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subscription receipts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Common Shares, preferred shares, warrants and/or debt securities to be received by the holders of subscription receipts upon satisfaction of the Release Conditions, and any procedures that will result in the adjustment of those numbers;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Conditions that must be met in order for holders of subscription receipts to receive, for no additional consideration, the Common Shares, preferred shares, warrants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the issuance and delivery of the Common Shares, preferred shares, warrants and/or debt securities to holders of subscription receipts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payments will be made to holders of subscription receipts upon delivery of the Common Shares, preferred shares, warrants and/or debt securities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hold all or a portion of the gross proceeds from the sale of subscription receipts, together with interest and income earned thereon (collectively, the “Escrowed Funds”),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pursuant to which the Escrow Agent will hold the Common Shares, preferred shares, warrants and/or debt securities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release all or a portion of the Escrowed Funds to the Company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contractual right of rescission to be granted to initial purchasers of subscription receipts in the event that this prospectus, the prospectus supplement under which such subscription receipts are issued or any amendment hereto or thereto contains a misrepresentation;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entitlement of the Company to purchase the subscription receipts in the open market by private agreement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Global Securities and, if so, the identity of the depositary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unregistered bearer securities, as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the Subscription Receipt Agreement or any rights or terms of the subscription receipts, including upon any subdivision, consolidation, reclassification or other material change of the Common Shares, preferred shares, warrants or other securities, any other reorganization, amalgamation, merger or sale of all or substantially all of the Company’s assets or any distribution of property or rights to all or substantially all of the holders of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subscription receipts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subscription receipts;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subscription receipts.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Original purchasers of subscription receipts will have a contractual right of rescission against us in respect of the conversion of the subscription receipts. The contractual right of rescission will entitle such original purchasers to receive the total of the amount paid on original purchase of the subscription receipts and the amount paid upon conversion of the subscription receipts (if any)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Holders of Subscription Receipts Prior to Satisfaction of Release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subscription receipts will not be, and will not have the rights of, shareholders of the Company. Holders of subscription receipts are entitled only to receive Common Shares, preferred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Escrow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preferred shares, warrants and or debt securities may be held in escrow by the Escrow Agent and will be released to the holders of subscription receipts following satisfaction of the Release Conditions at the time and under the terms specified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Modifications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142683_16"/>
      <w:bookmarkEnd w:id="46"/>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under this prospectus by way of a secondary offering by or for the account of certain of our securityholders. The prospectus supplement that we will file in connection with any offering of our Securities by selling securityholders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and, where the selling securityholder is not an individual, the name of the principal securityholder of such selling securityholder to the extent 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owned, controlled or directed by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being distributed for the account of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Securities to be owned by the selling securityholders after the distribution and the percentage that number or amount represents of the total number of our outstanding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Securities are owned by the selling securityholders both of record and beneficially, of record only or beneficially only. </w:t>
            </w:r>
          </w:p>
        </w:tc>
      </w:tr>
    </w:tbl>
    <w:p>
      <w:pPr>
        <w:pStyle w:val="TextBody"/>
        <w:bidi w:val="0"/>
        <w:spacing w:before="480" w:after="0"/>
        <w:jc w:val="center"/>
        <w:rPr>
          <w:rFonts w:ascii="Times New Roman" w:hAnsi="Times New Roman"/>
          <w:b/>
          <w:sz w:val="20"/>
        </w:rPr>
      </w:pPr>
      <w:bookmarkStart w:id="47" w:name="toc142683_17"/>
      <w:bookmarkEnd w:id="47"/>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New Issue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Securities offered by this prospectus for cash or other consideration (i) to or through underwriters, dealers, placement agents or other intermediaries, (ii) directly to one or more purchasers, (iii) in connection with acquisitions of assets or shares or another entity or company or (iv) in connection with the exercise or conversion of Securities outstanding as of the date hereof, including, without limitation, outstanding warrants to purchase Common Shares. The consideration for an acquisition of assets or shares of another entity or company may consist of any of the Securities covered hereby separately, a combination of such Securities, or any combination of, among other things, Securities, cash or the assumption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with respect to our Securities being offered will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other placement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the purchase price of, and form of consideration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proceeds to the Company from such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fees, discounts and other items constituting underwriters’, dealers’ or agents’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from time to time, in one or more transactions at a fixed price or prices which may be changed or at market prices prevailing at the time of sale, at prices related to such prevailing prices or at negotiated prices, including sales in transactions that are deemed to be ATM Distributions, including sales made directly on the TSX,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w:t>
      </w:r>
      <w:r>
        <w:rPr>
          <w:rFonts w:ascii="Times New Roman" w:hAnsi="Times New Roman"/>
          <w:i/>
          <w:sz w:val="20"/>
        </w:rPr>
        <w:t xml:space="preserve">bona fide </w:t>
      </w:r>
      <w:r>
        <w:rPr>
          <w:rFonts w:ascii="Times New Roman" w:hAnsi="Times New Roman"/>
          <w:sz w:val="20"/>
        </w:rPr>
        <w:t xml:space="preserve">effort to sell all of the Securities at the initial offering price fixed in the applicable prospectus supplement, the public offering price may be decreased and thereafter further changed, from time to time, to an amount not greater than the initial offering price fixed in such prospectus supplement, in which case the compensation realized by the underwriters will be decreased by the amount that the aggregate price paid by purchasers for the Securities is less than the gross proceeds paid by the underwriters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underwriters named in the prospectus supplement are deemed to be underwriters in connection with our Securities offered by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which may be entered into by the Company, underwriters, dealers and agents who participate in the distribution of our Securities may be entitled to indemnification by the Company against certain liabilities, including liabilities under the U.S. Securities Act of 1933, as amended, and applicable Canadian securities legislation, or to contribution with respect to payments which such underwriters, dealers or agents may be required to make in respect thereof. The underwriters, dealers and agents with whom we enter into agreements may be customers of, engage in transactions with, or perform services for, the Company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class or series of preferred shares, debt securities, subscription receipts, warrants and units will be a new issue of Securities with no established trading market. </w:t>
      </w:r>
      <w:r>
        <w:rPr>
          <w:rFonts w:ascii="Times New Roman" w:hAnsi="Times New Roman"/>
          <w:b/>
          <w:sz w:val="20"/>
        </w:rPr>
        <w:t>Unless otherwise specified in the applicable prospectus supplement, the preferred shares, debt securities, warrants, subscription receipts or units will not be listed on any securities or stock exchange. Unless otherwise specified in the applicable prospectus supplement, there is no market through which the preferred shares, debt securities, warrants, subscription receipts or units may be sold and purchasers may not be able to resell preferred shares, debt securities, warrants, subscription receipts or units purchased under this prospectus or any prospectus supplement. This may affect the pricing of the preferred shares, debt securities, warrants, subscription receipts or units in the secondary market, the transparency and availability of trading prices, the liquidity of the securities, and the extent of issuer regulation.</w:t>
      </w:r>
      <w:r>
        <w:rPr>
          <w:rFonts w:ascii="Times New Roman" w:hAnsi="Times New Roman"/>
          <w:sz w:val="20"/>
        </w:rPr>
        <w:t xml:space="preserve"> Subject to applicable laws, certain dealers may make a market in the preferred shares, debt securities, warrants, subscription receipts or units, as applicable, but will not be obligated to do so and may discontinue any market making at any time without notice. No assurance can be given that any dealer will make a market in the preferred shares, debt securities, warrants, subscription receipts or units or as to the liquidity of the trading market, if any, for the preferred shares, debt securities, warrants, subscription receipts or units.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or dealer involved in ATM Distribution, no affiliate of such underwriter or dealer and no person acting jointly or in concert with such underwriter or dealer has over-allotted, or will over allot, our securities in connection with an ATM Distribution of our securities or effect any other transactions that are intended to stabilize the market price of our securities during an ATM Distribution. In connection with any offering of Securities, except as otherwise set out in a prospectus supplement relating to a particular offering of Securities and other than in relation to an ATM Distribution, the underwriters, dealers or agents, as the case may be, may over-allot or effect transactions intended to fix, stabilize, maintain or otherwise affect the market price of the Securities at a level other than those which otherwise might prevail on the open market. Such transactions may be commenced, interrupted or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also, from time to time, relate to the offering of Securities by certain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sell all or a portion of the Securities beneficially owned by them and offered hereby from time to time directly or through one or more underwriters, broker-dealers or agents. If Securities are sold through underwriters or broker-dealers, the selling securityholders will be responsible for underwriting discounts or commissions or agent’s commissions. Securities may be sold by the selling securityholders in one or more transactions at fixed prices, at prevailing market prices at the time of the sale, at varying prices determined at the time of sale, or at negotiated prices. These sales may be effected in transactions, which may involve crosses or block transactions,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selling securityholders effect such transactions by selling the Securities to or through underwriters, broker-dealers or agents, such underwriters, broker-dealers or agents may receive commissions in the form of discounts, concessions or commissions from the selling securityholders or commissions from purchasers of our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securityholders may enter into hedging transactions with broker-dealers, which may in turn engage in short sales of the Securities in the course of hedging in positions they assume. The selling securityholders may also sell the Securities short and deliver the Securities covered by this prospectus to close out short positions and to return borrowed shares in connection with such short sales. The selling securityholders may also loan or pledge the Securities to broker-dealers that in turn may sell such shares. </w:t>
      </w:r>
    </w:p>
    <w:p>
      <w:pPr>
        <w:pStyle w:val="TextBody"/>
        <w:bidi w:val="0"/>
        <w:spacing w:before="480" w:after="0"/>
        <w:jc w:val="center"/>
        <w:rPr>
          <w:rFonts w:ascii="Times New Roman" w:hAnsi="Times New Roman"/>
          <w:b/>
          <w:sz w:val="20"/>
        </w:rPr>
      </w:pPr>
      <w:bookmarkStart w:id="48" w:name="toc142683_18"/>
      <w:bookmarkEnd w:id="48"/>
      <w:r>
        <w:rPr>
          <w:rFonts w:ascii="Times New Roman" w:hAnsi="Times New Roman"/>
          <w:b/>
          <w:sz w:val="20"/>
        </w:rPr>
        <w:t xml:space="preserve">CERTAIN CANADIAN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certain Canadian federal income tax consequences to an investor who is a non-resident of Canada or to an investor who is a resident of Canada of acquiring, owning and disposing of any of our Securities offered thereunder.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49" w:name="toc142683_19"/>
      <w:bookmarkEnd w:id="49"/>
      <w:r>
        <w:rPr>
          <w:rFonts w:ascii="Times New Roman" w:hAnsi="Times New Roman"/>
          <w:b/>
          <w:sz w:val="20"/>
        </w:rPr>
        <w:t xml:space="preserve">CERTAIN MATERIAL UNITED STATES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Subject to the limitations and qualifications stated herein, this discussion sets forth material U.S. federal income tax considerations relating to the ownership and disposition by U.S. Holders (as hereinafter defined) of the Common Shares. The discussion is based on the U.S. Internal Revenue Code of 1986, as amended (the “</w:t>
      </w:r>
      <w:r>
        <w:rPr>
          <w:rFonts w:ascii="Times New Roman" w:hAnsi="Times New Roman"/>
          <w:b/>
          <w:sz w:val="20"/>
        </w:rPr>
        <w:t>Code</w:t>
      </w:r>
      <w:r>
        <w:rPr>
          <w:rFonts w:ascii="Times New Roman" w:hAnsi="Times New Roman"/>
          <w:sz w:val="20"/>
        </w:rPr>
        <w:t xml:space="preserve">”), its legislative history, existing and proposed U.S. Treasury Regulations thereunder, published rulings and court decisions, all as currently in effect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 opinion from legal counsel or ruling from the Internal Revenue Service (the “</w:t>
      </w:r>
      <w:r>
        <w:rPr>
          <w:rFonts w:ascii="Times New Roman" w:hAnsi="Times New Roman"/>
          <w:b/>
          <w:sz w:val="20"/>
        </w:rPr>
        <w:t>IRS</w:t>
      </w:r>
      <w:r>
        <w:rPr>
          <w:rFonts w:ascii="Times New Roman" w:hAnsi="Times New Roman"/>
          <w:sz w:val="20"/>
        </w:rPr>
        <w:t xml:space="preserve">”) has been requested, or will be obtained, regarding the U.S. federal income tax considerations applicable to U.S. Holders as discussed in this summary.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applies only to U.S. Holders that acquire Common Shares in this offering and that hold those Common Shares as capital assets (generally, property held for investment.) This discussion does not describe all of the tax consequences that may be relevant in light of a U.S. Holder’s particular circumstances. This summary is for general information purposes only and does not purport to be a complete analysis or listing of all potential U.S. federal income tax considerations that may apply to a U.S. Holder as a result of the acquisition of Common Shares pursuant to this offering. In addition, this summary does not take into account the individual facts and circumstances of any particular U.S. Holder that may affect the U.S. federal income tax consequences to such U.S. Holder, including specific tax consequences to a U.S. Holder under an applicable tax treaty. Accordingly, this summary is not intended to be, and should not be construed as, legal or U.S. federal income tax advice with respect to any particular U.S. Holder. This summary does not address the U.S. federal net investment income, U.S. federal alternative minimum, U.S. federal estate and gift, U.S. state and local, and non-U.S. tax consequences to U.S. Holders of the acquisition, ownership, and disposition of the securities. Except as specifically set forth below, this summary does not discuss applicable tax reporting requirements. Each U.S. Holder should consult its own tax advisor regarding the U.S. federal, U.S. federal net investment income, U.S. federal alternative minimum, U.S. federal estate and gift, U.S. state and local, and non-U.S. tax consequences relating to the acquisition, ownership and disposition of the Common Shares. In addition, this discussion does not discuss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commodities or currencies or other persons that generally mark their securities to market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Common Shares as part of a hedging transaction, “straddle,” wash sale, conversion transaction or integrated transaction or persons entering into a constructive sale with respect to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the Common Shares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Shares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Shares in connection with a trade or business, permanent establishment, or fixed base outside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10% or more (by vote or value) of our outstanding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Common Shares, the U.S. federal income tax treatment of a partner will generally depend on the status of the partner and the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partnership. Partnerships holding Common Shares and partners in such partnerships are encouraged to consult their tax advisers as to the particular U.S. federal income tax consequences of holding and disposing of Common Shares.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U.S. Holder</w:t>
      </w:r>
      <w:r>
        <w:rPr>
          <w:rFonts w:ascii="Times New Roman" w:hAnsi="Times New Roman"/>
          <w:sz w:val="20"/>
        </w:rPr>
        <w:t xml:space="preserve">” is a holder who, for U.S. federal income tax purposes, is a beneficial owner of Common Shares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(within the meaning of Section 7701(a)(30) of the Code) have authority to control all substantial decisions of the trust or (2) the trust has a valid election in effect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CONSIDERING AN INVESTMENT IN COMMON SHARES SHOULD CONSULT THEIR OWN TAX ADVISORS AS TO THE PARTICULAR TAX CONSEQUENCES APPLICABLE TO THEM RELATING TO THE OWNERSHIP AND DISPOSITION OF THE COMMON SHARES, INCLUDING THE APPLICABILITY OF U.S. FEDERAL, STATE AND LOCAL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If we are considered a “passive foreign investment company” within the meaning of Section 1297 of the Code (a “</w:t>
      </w:r>
      <w:r>
        <w:rPr>
          <w:rFonts w:ascii="Times New Roman" w:hAnsi="Times New Roman"/>
          <w:b/>
          <w:sz w:val="20"/>
        </w:rPr>
        <w:t>PFIC</w:t>
      </w:r>
      <w:r>
        <w:rPr>
          <w:rFonts w:ascii="Times New Roman" w:hAnsi="Times New Roman"/>
          <w:sz w:val="20"/>
        </w:rPr>
        <w:t xml:space="preserve">”) at any time during a U.S. Holder’s holding period, the following sections will generally describe the potentially adverse U.S. federal income tax consequences to U.S. Holders of the acquisition, ownership, and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In any year in which we are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w:t>
      </w:r>
    </w:p>
    <w:p>
      <w:pPr>
        <w:pStyle w:val="TextBody"/>
        <w:bidi w:val="0"/>
        <w:spacing w:before="240" w:after="0"/>
        <w:jc w:val="left"/>
        <w:rPr>
          <w:rFonts w:ascii="Times New Roman" w:hAnsi="Times New Roman"/>
          <w:sz w:val="20"/>
        </w:rPr>
      </w:pPr>
      <w:r>
        <w:rPr>
          <w:rFonts w:ascii="Times New Roman" w:hAnsi="Times New Roman"/>
          <w:sz w:val="20"/>
        </w:rPr>
        <w:t>We generally will be a PFIC for any tax year in which (a) 75% or more of our gross income for such tax year is passive income (the “</w:t>
      </w:r>
      <w:r>
        <w:rPr>
          <w:rFonts w:ascii="Times New Roman" w:hAnsi="Times New Roman"/>
          <w:b/>
          <w:sz w:val="20"/>
        </w:rPr>
        <w:t>PFIC income test</w:t>
      </w:r>
      <w:r>
        <w:rPr>
          <w:rFonts w:ascii="Times New Roman" w:hAnsi="Times New Roman"/>
          <w:sz w:val="20"/>
        </w:rPr>
        <w:t>”) or (b) 50% or more of the value of our assets either produce passive income or are held for the production of passive income, based on the quarterly average of the fair market value of such assets (the “</w:t>
      </w:r>
      <w:r>
        <w:rPr>
          <w:rFonts w:ascii="Times New Roman" w:hAnsi="Times New Roman"/>
          <w:b/>
          <w:sz w:val="20"/>
        </w:rPr>
        <w:t>PFIC asset test</w:t>
      </w:r>
      <w:r>
        <w:rPr>
          <w:rFonts w:ascii="Times New Roman" w:hAnsi="Times New Roman"/>
          <w:sz w:val="20"/>
        </w:rPr>
        <w:t xml:space="preserve">”). “Gross income” generally includes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PFIC income test and PFIC asset test described above, if we own, directly or indirectly, 25% or more of the total value of the outstanding shares of another corporation, we will be treated as if we (a) held a proportionate share of the assets of such other corporation and (b) received directly a proportionate share of the income of such other corporation. In addition, for purposes of the PFIC income test and PFIC asset test described above, “passive income” does not include any interest, dividends, rents, or royalties that are received or accrued by us from a “related person” (as defined in Section 954(d)(3) of the Code), to the extent such items are properly allocable to the income of such related person that is not passive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certain attribution rules, if we are a PFIC, U.S. Holders will be deemed to own their proportionate share of any of our subsidiaries which is also a PFIC (a “</w:t>
      </w:r>
      <w:r>
        <w:rPr>
          <w:rFonts w:ascii="Times New Roman" w:hAnsi="Times New Roman"/>
          <w:b/>
          <w:sz w:val="20"/>
        </w:rPr>
        <w:t>Subsidiary PFIC</w:t>
      </w:r>
      <w:r>
        <w:rPr>
          <w:rFonts w:ascii="Times New Roman" w:hAnsi="Times New Roman"/>
          <w:sz w:val="20"/>
        </w:rPr>
        <w:t>”), and will generally be subject to U.S. federal income tax under the “</w:t>
      </w:r>
      <w:r>
        <w:rPr>
          <w:rFonts w:ascii="Times New Roman" w:hAnsi="Times New Roman"/>
          <w:i/>
          <w:sz w:val="20"/>
        </w:rPr>
        <w:t>Default PFIC Rules Under Section</w:t>
      </w:r>
      <w:r>
        <w:rPr>
          <w:rFonts w:ascii="Times New Roman" w:hAnsi="Times New Roman"/>
          <w:sz w:val="20"/>
        </w:rPr>
        <w:t> </w:t>
      </w:r>
      <w:r>
        <w:rPr>
          <w:rFonts w:ascii="Times New Roman" w:hAnsi="Times New Roman"/>
          <w:i/>
          <w:sz w:val="20"/>
        </w:rPr>
        <w:t>1291 of the Code</w:t>
      </w:r>
      <w:r>
        <w:rPr>
          <w:rFonts w:ascii="Times New Roman" w:hAnsi="Times New Roman"/>
          <w:sz w:val="20"/>
        </w:rPr>
        <w:t xml:space="preserve">” discussed below on their proportionate share of any (i) distribution on the shares of a Subsidiary PFIC and (ii) disposition or deemed disposition of shares of a Subsidiary PFIC, both as if such U.S. Holders directly held the shares of such Subsidiary PFIC. Accordingly, U.S. Holders should be aware that they could be subject to tax under the PFIC rules even if no distributions are received and no redemptions or other dispositions of the securities are made. In addition, U.S. Holders may be subject to U.S. federal income tax on any indirect gain realized on the stock of a Subsidiary PFIC on the sale or disposition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and without limiting the foregoing, while the Company believes that it was likely a PFIC for its most recent taxable year ended, no definitive analysis has been undertaken as to whether the Company was a PFIC for its most recent taxable year or whether it will be for the current or for future taxable years. A separate determination must be made after the close of each taxable year as to whether we are a PFIC for that year, and as a result, our PFIC status may change from year to year. The total value of our assets for purposes of the asset test generally will be calculated using the market price of our shares, which may fluctuate considerably. Fluctuations in the market price of the Common Shares may result in us being a PFIC for any taxable year. Because of the uncertainties involved in establishing our PFIC status, there can be no assurance regarding whether we currently are treated as a PFIC, or may be treated as a PFIC in the future. If we are classified as a PFIC in any year during which a U.S. Holder holds the Common Shares, we generally will continue to be treated as a PFIC as to such U.S. Holder in all succeeding years, regardless of whether we continue to meet the PFIC income test or PFIC asset test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Default PFIC Rules Under Section 1291 of the Code </w:t>
      </w:r>
    </w:p>
    <w:p>
      <w:pPr>
        <w:pStyle w:val="TextBody"/>
        <w:bidi w:val="0"/>
        <w:spacing w:before="120" w:after="0"/>
        <w:jc w:val="left"/>
        <w:rPr>
          <w:rFonts w:ascii="Times New Roman" w:hAnsi="Times New Roman"/>
          <w:sz w:val="20"/>
        </w:rPr>
      </w:pPr>
      <w:r>
        <w:rPr>
          <w:rFonts w:ascii="Times New Roman" w:hAnsi="Times New Roman"/>
          <w:sz w:val="20"/>
        </w:rPr>
        <w:t>If we are a PFIC, the U.S. federal income tax consequences to a U.S. Holder of the acquisition, ownership, and disposition of the Common Shares will depend on whether such U.S. Holder makes a “qualified electing fund” or “QEF” election (a “</w:t>
      </w:r>
      <w:r>
        <w:rPr>
          <w:rFonts w:ascii="Times New Roman" w:hAnsi="Times New Roman"/>
          <w:b/>
          <w:sz w:val="20"/>
        </w:rPr>
        <w:t>QEF Election</w:t>
      </w:r>
      <w:r>
        <w:rPr>
          <w:rFonts w:ascii="Times New Roman" w:hAnsi="Times New Roman"/>
          <w:sz w:val="20"/>
        </w:rPr>
        <w:t>”) or makes a mark-to-market election under Section 1296 of the Code (a “</w:t>
      </w:r>
      <w:r>
        <w:rPr>
          <w:rFonts w:ascii="Times New Roman" w:hAnsi="Times New Roman"/>
          <w:b/>
          <w:sz w:val="20"/>
        </w:rPr>
        <w:t>Mark-to-Market Election</w:t>
      </w:r>
      <w:r>
        <w:rPr>
          <w:rFonts w:ascii="Times New Roman" w:hAnsi="Times New Roman"/>
          <w:sz w:val="20"/>
        </w:rPr>
        <w:t>”) with respect to the Common Shares. A U.S. Holder that does not make either a QEF Election or a Mark-to-Market Election (a “</w:t>
      </w:r>
      <w:r>
        <w:rPr>
          <w:rFonts w:ascii="Times New Roman" w:hAnsi="Times New Roman"/>
          <w:b/>
          <w:sz w:val="20"/>
        </w:rPr>
        <w:t>Non-Electing U.S. Holder</w:t>
      </w:r>
      <w:r>
        <w:rPr>
          <w:rFonts w:ascii="Times New Roman" w:hAnsi="Times New Roman"/>
          <w:sz w:val="20"/>
        </w:rPr>
        <w:t xml:space="preserve">”) will be taxable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Non-Electing U.S. Holder will be subject to the rules of Section 1291 of the Code with respect to (a) any gain recognized on the sale or other taxable disposition of the securities and (b) any excess distribution received on the securities.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1291 of the Code, any gain recognized on the sale or other taxable disposition of the securities of a PFIC (including an indirect disposition of shares of a Subsidiary PFIC), and any excess distribution received on such securities (or a distribution by a Subsidiary PFIC to its shareholder that is deemed to be received by a U.S. Holder) must be ratably allocated to each day in a Non-Electing U.S. Holder’s holding period for the securities. The amount of any such gain or excess distribution allocated to the tax year of disposition or distribution of the excess distribution and to years before the entity became a PFIC, if any, would be taxed as ordinary income (and not eligible for certain preferential tax rates, as discussed below).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 year during which a Non-Electing U.S. Holder holds the Common Shares, it will continue to be treated as a PFIC with respect to such Non-Electing U.S. Holder, regardless of whether it ceases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 PFIC in one or more subsequent tax years. If we cease to be a PFIC, a Non-Electing U.S. Holder may terminate this deemed PFIC status with respect to the Common Shares by electing to recognize gain (which will be taxed under the rules of Section 1291 of the Code as discussed above) as if such securities were sold on the last day of the last tax year for which we were a PFIC. </w:t>
      </w:r>
    </w:p>
    <w:p>
      <w:pPr>
        <w:pStyle w:val="TextBody"/>
        <w:bidi w:val="0"/>
        <w:spacing w:before="360" w:after="0"/>
        <w:jc w:val="left"/>
        <w:rPr>
          <w:rFonts w:ascii="Times New Roman" w:hAnsi="Times New Roman"/>
          <w:i/>
          <w:sz w:val="20"/>
        </w:rPr>
      </w:pPr>
      <w:r>
        <w:rPr>
          <w:rFonts w:ascii="Times New Roman" w:hAnsi="Times New Roman"/>
          <w:i/>
          <w:sz w:val="20"/>
        </w:rPr>
        <w:t xml:space="preserve">QEF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makes a QEF Election for the first tax year in which its holding period of its Common Shares begins generally will not be subject to the rules of Section 1291 of the Code discussed above with respect to its Common Shares. However, a U.S. Holder that makes a QEF Election will be subject to U.S. federal income tax on such U.S. Holder’s pro rata share of (a) our net capital gain, which will be taxed as long-term capital gain to such U.S. Holder, and (b) our ordinary earnings,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we are a PFIC, regardless of whether such amounts are actually distributed to such U.S. Holder by us. However, for any tax year in which we are a PFIC and have no ordinary earnings or net capital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timely QEF Election generally (a) may receive a tax-free distribution from us to the extent that such distribution represents “earnings and profits”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procedure for making a QEF Election, and the U.S. federal income tax consequences of making a QEF Election, will depend on whether such QEF Election is timely. A QEF Election will be treated as “timely” for purposes of avoiding the default PFIC rules discussed above if such QEF Election is made for the first year in the U.S. Holder’s holding period for the Common Shares in which we were a PFIC. A U.S. Holder may make a timely QEF Election by filing the appropriate QEF Election documents at the time such U.S. Holder files a U.S. federal income tax return for such year. </w:t>
      </w:r>
    </w:p>
    <w:p>
      <w:pPr>
        <w:pStyle w:val="TextBody"/>
        <w:bidi w:val="0"/>
        <w:spacing w:before="240" w:after="0"/>
        <w:jc w:val="left"/>
        <w:rPr>
          <w:rFonts w:ascii="Times New Roman" w:hAnsi="Times New Roman"/>
          <w:sz w:val="20"/>
        </w:rPr>
      </w:pPr>
      <w:r>
        <w:rPr>
          <w:rFonts w:ascii="Times New Roman" w:hAnsi="Times New Roman"/>
          <w:sz w:val="20"/>
        </w:rPr>
        <w:t xml:space="preserve">A QEF Election will apply to the tax year for which such QEF Election is made and to all subsequent tax years, unless such QEF Election is invalidated or terminated or the IRS consents to revocation of such QEF Election. If a U.S. Holder makes a QEF Election and, in a subsequent tax year, we cease to be a PFIC, the QEF Election will remain in effect (although it will not be applicable) during those tax years in which we are not a PFIC. Accordingly, if we become a PFIC in another subsequent tax year, the QEF Election will be effective, and the U.S. Holder will be subject to the QEF rules described above during any subsequent tax year in which we qualify as a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by attaching a completed IRS Form 8621, including a PFIC Annual Information Statement, to a timely filed U.S. federal income tax return. However, if we do not provide the required information with regard to us or any of our Subsidiary PFICs, U.S. Holders will not be able to make a QEF Election for such entity and will continue to be subject to the rules of Section 1291 of the Code discussed above that apply to Non-Electing U.S. Holders with respect to the taxation of gains and excess distributions. </w:t>
      </w:r>
    </w:p>
    <w:p>
      <w:pPr>
        <w:pStyle w:val="TextBody"/>
        <w:bidi w:val="0"/>
        <w:spacing w:before="360" w:after="0"/>
        <w:jc w:val="left"/>
        <w:rPr>
          <w:rFonts w:ascii="Times New Roman" w:hAnsi="Times New Roman"/>
          <w:i/>
          <w:sz w:val="20"/>
        </w:rPr>
      </w:pPr>
      <w:r>
        <w:rPr>
          <w:rFonts w:ascii="Times New Roman" w:hAnsi="Times New Roman"/>
          <w:i/>
          <w:sz w:val="20"/>
        </w:rPr>
        <w:t xml:space="preserve">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make a Mark-to-Market Election with respect to the Common Shares only if such shares are marketable stock. The Common Shares generally will be “marketable stock” if the Common Shares are regularly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other requirements and the laws of the country in which such foreign exchange is located, together with the rules of such foreign exchange, ensure that such requirements are actually enforced and (ii) the rules of such foreign exchange ensure active trading of listed stocks. If such stock is traded on such a qualified exchange or other market, such stock generally will be considered “regularly traded” for any calendar year during which such stock is traded, other than in de minimis quantities, on at least 15 days during each calendar quarter. Provided that the Common Shares are “regularly traded” as described in the preceding sentence, such shares are expected to be marketable stock. There can be no assurance that the Common Shares will be “regularly traded” in subsequent calendar quarters. U.S. Holders should consult their own tax advisors regarding the marketable stock rules.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and such U.S. Holder has not made a timely QEF Election, the rules of Section 1291 of the Code discussed above will apply to certain dispositions of, and distributions on,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will include in ordinary income, for each tax year in which we are a PFIC, an amount equal to the excess, if any, of (a) the fair market value of the Common Shares as of the close of such tax year over (b) such U.S. Holder’s tax basis in such securities. A U.S. Holder that makes a Mark-to-Market Election will be allowed a deduction in an amount equal to the excess, if any, of (i) such U.S. Holder’s adjusted tax basis in the Common Shares, over (ii) the fair market value of such securities (but only to the extent of the net amount of previously included income as a result of the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such securities,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Mark-to-Market Election by attaching a completed IRS Form 8621 to a timely filed U.S. federal income tax return. A timely Mark-to-Market Election applies to the tax year in which such Mark-to-Market Election is made and to each subsequent tax year, unless the securities cease to be “marketable stock” or the IRS consents to revocation of such election. Each U.S. Holder should consult its own tax advisor regarding the availability of, and procedure for making, a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eliminate the interest charge and other income inclusion rules described above with respect to deemed dispositions of Subsidiary PFIC stock or distributions from a Subsidiary PFIC to its shareholder. </w:t>
      </w:r>
    </w:p>
    <w:p>
      <w:pPr>
        <w:pStyle w:val="TextBody"/>
        <w:bidi w:val="0"/>
        <w:spacing w:before="360" w:after="0"/>
        <w:jc w:val="left"/>
        <w:rPr>
          <w:rFonts w:ascii="Times New Roman" w:hAnsi="Times New Roman"/>
          <w:i/>
          <w:sz w:val="20"/>
        </w:rPr>
      </w:pPr>
      <w:r>
        <w:rPr>
          <w:rFonts w:ascii="Times New Roman" w:hAnsi="Times New Roman"/>
          <w:i/>
          <w:sz w:val="20"/>
        </w:rPr>
        <w:t xml:space="preserve">Other PFIC Rules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1291(f) of the Code, the IRS has issued proposed Treasury Regulations that, subject to certain exceptions, would cause a U.S. Holder that had not made a timely QEF Election to recognize gain (but not loss) upon certain transfers of securities that would otherwise be tax-deferred (e.g., gifts and exchanges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corporate reorganizations). However, the specific U.S. federal income tax consequences to a U.S. Holder may vary based on the manner in which the securities are transferred. </w:t>
      </w:r>
    </w:p>
    <w:p>
      <w:pPr>
        <w:pStyle w:val="TextBody"/>
        <w:bidi w:val="0"/>
        <w:spacing w:before="240" w:after="0"/>
        <w:jc w:val="left"/>
        <w:rPr>
          <w:rFonts w:ascii="Times New Roman" w:hAnsi="Times New Roman"/>
          <w:sz w:val="20"/>
        </w:rPr>
      </w:pPr>
      <w:r>
        <w:rPr>
          <w:rFonts w:ascii="Times New Roman" w:hAnsi="Times New Roman"/>
          <w:sz w:val="20"/>
        </w:rPr>
        <w:t xml:space="preserve">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Certain additional adverse rules will apply with respect to a U.S. Holder if we are a PFIC, regardless of whether such U.S. Holder makes a QEF Election. For example, under Section 1298(b)(6) of the Code, a U.S. Holder that uses the Common Shares as security for a loan will, except as may be provided in Treasury Regulations, be treated as having made a taxable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who acquires Common Shares from a decedent will not receive a “step up” in tax basis of such securities to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their own tax advisor regarding the availability of the foreign tax credit with respect to distributions by a PFIC.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ARE COMPLEX, AND EACH U.S. HOLDER SHOULD CONSULT ITS OWN TAX ADVISOR REGARDING THE PFIC RULES (INCLUDING THE APPLICABILITY AND ADVISABILITY OF A QEF ELECTION AND MARK-TO-MARKET ELECTION) AND HOW THE PFIC RULES MAY AFFECT THE U.S. FEDERAL INCOME TAX CONSEQUENCES OF THE ACQUISITION, OWNERSHIP, AND DISPOSITION OF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above, to the extent there are any distributions made with respect to the Common Shares, a U.S. Holder generally will be required to include in its gross income distributions received with respect to its Common Shares (including the amount of Canadian taxes withheld, if any) as dividend income, but only to the extent that the distribution is paid out of our current or accumulated earnings and profits (computed using U.S. federal income tax principles), with the excess treated first as a non-taxable return of capital to the extent of the holder’s adjusted tax basis in its Common Shares and, thereafter, as capital gain recognized on a sale or exchange on the day actually or constructively received by the holder (as described below under “</w:t>
      </w:r>
      <w:r>
        <w:rPr>
          <w:rFonts w:ascii="Times New Roman" w:hAnsi="Times New Roman"/>
          <w:i/>
          <w:sz w:val="20"/>
        </w:rPr>
        <w:t>Sale or Disposition of Common Shares</w:t>
      </w:r>
      <w:r>
        <w:rPr>
          <w:rFonts w:ascii="Times New Roman" w:hAnsi="Times New Roman"/>
          <w:sz w:val="20"/>
        </w:rPr>
        <w:t xml:space="preserve">”). There can be no assurance that we will maintain calculations of our earnings and profits in accordance with U.S. federal income tax accounting principles. U.S. Holders should therefore assume that any distribution with respect to the Common Shares will constitute ordinary dividend income. Dividends paid on the Common Shares will not be eligible for the dividends received deduction allowed to U.S. corporations.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dividends paid to a non-corporate U.S. Holder by a “qualified foreign corporation” may be subject to reduced rates of taxation if certain holding period and other requirements are met. A qualified foreign corporation generally includes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corporation if (i) its Common Shares are readily tradable on an established securities market in the United States or it is eligible for benefits under a comprehensive U.S. income tax treaty that includes an exchange of information program and which the U.S. Treasury has determined is satisfactory for these purposes and (ii) if such foreign corporation is not a PFIC (as discussed above) for either the taxable year in which the dividend is paid or the preceding taxable year. The Company believes that it qualifies as a resident of Canada for purposes of, and are eligible for the benefits of, the Canada-United States Income Tax Convention (1980) as amended, which the IRS has determined is satisfactory for purposes of the qualified dividend rules and that it includes an exchange of information provision, although there can be no assurance in this regard. In addition, the Common Shares are expected to be readily tradable on an established securities market, the TSX and Nasdaq. However, whether our Common Shares are regularly traded on a qualified exchange is an annual determination based on facts that, in part, are beyond our control. Accordingly, subject to the PFIC rules discussed above, we expect that a non-corporate U.S. Holder should qualify for the reduced rate on dividends so long as the applicable holding period requirements are met. U.S. Holders should consult their own tax advisors regarding the availability of the reduced tax rate on dividends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distribution paid to a U.S. Holder in foreign currency or on the sale, exchange or other taxable disposition of the Common Shares generally will be equal to the U.S. dollar value of such foreign currency based on the exchange rate applicable on the date of receipt (regardless of whether such foreign currency is converted into U.S. dollars at that time). If the foreign currency received is not converted into U.S. dollars on the date of receipt, a U.S. Holder will have a tax basis in the foreign currency equal to its U.S. dollar value on the date of receipt. Any U.S. Holder who receives payment in foreign currency and engages in a subsequent conversion or other disposition of the foreign currency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 regarding the U.S. federal income tax consequences of receiving, owning, and disposing of foreign currency.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a U.S. Holder that pays (whether directly or through withholding) Canadian income tax with respect to dividends paid on the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foreign taxes paid or accrued (whether directly or through withholding) by a U.S. Holder during a year. The foreign tax credit rules are complex and involve the application of rules that depend on a U.S. Holder’s particular circumstances. Accordingly, each U.S. Holder should consult its own tax advisor regarding the foreign tax credit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Disposition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taxable sale or exchange of the Common Shares in an amount equal to the difference between the U.S. dollar amount realized on such sale or exchange (determined in the case of the Common Shares sold or exchanged for currencies other than U.S. dollars by reference to the spot exchange rate in effect on the date of the sale or exchange or, if the Common Shares sold or exchanged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and the U.S. Holder’s adjusted tax basis in the Common Shares determined in U.S. dollars. The initial tax basis of the Common Shares to a U.S. Holder will be the U.S. Holder’s U.S. dollar purchase price for the Common Shares (determined by reference to the spot exchange rate in effect on the date of the purchase, or if the Common Shares purchased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 accrual basis U.S. Holder that does not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election will recognize exchange gain or loss to the extent attributable to the difference between the exchange rates on the sale date and the settlement date, and such exchange gain or loss generally will constitute ordinary income or loss.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such gain or loss will be capital gain or loss and will be long-term gain or loss if the Common Shares have been held for more than one year. Under current law, long-term capital gains of non-corporate U.S. Holders generally are eligible for reduced rates of taxation. The deductibility of capital losses is subject to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laws certain categories of U.S. Holders must file information returns with respect to their investment in, or involvement in, a foreign corporation. For example, U.S. return disclosure obligations (and related penalties) are imposed on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U. S. Holders may be subject to these reporting requirements unless the securities are held in an account at certain financial institutions. Penalties for failure to file certain of these information returns are substantial. U.S. Holders paying more than US$100,000 for our Common Shares generally may be required to file IRS Form 926 reporting the payment of the offer price for our Common Shares to us. Substantial penalties may be imposed upon a U.S. Holder that fails to comply. U.S. Holders should consult their own tax advisors regarding the requirements of filing information returns, including the requirement to file IRS Forms 926 and 8938. </w:t>
      </w:r>
    </w:p>
    <w:p>
      <w:pPr>
        <w:pStyle w:val="TextBody"/>
        <w:bidi w:val="0"/>
        <w:spacing w:before="240" w:after="0"/>
        <w:jc w:val="left"/>
        <w:rPr>
          <w:rFonts w:ascii="Times New Roman" w:hAnsi="Times New Roman"/>
          <w:sz w:val="20"/>
        </w:rPr>
      </w:pPr>
      <w:r>
        <w:rPr>
          <w:rFonts w:ascii="Times New Roman" w:hAnsi="Times New Roman"/>
          <w:sz w:val="20"/>
        </w:rPr>
        <w:t xml:space="preserve">Payments made within the U.S., or by a U.S. payor or U.S. middleman, of dividends on, and proceeds arising from the sale or other taxable disposition of the securities generally may be subject to information reporting and backup withholding tax, currently at the rate of 24%, if a U.S. Holder (a) fails to furnish its correct U.S. taxpayer identification number (generally on Form W-9), (b) furnishes an incorrect U.S. taxpayer identification number, (c) is notified by the IRS that such U.S. Holder has previously failed to properly report items subject to backup withholding tax, or (d) fails to certify, under penalty of perjury, that it has furnished its correct U.S. taxpayer identification number and that the IRS has not notified such U.S. Holder that it is subject to backup withholding tax. However, certain exempt persons, such as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such U.S. Holder furnishes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 </w:t>
      </w:r>
    </w:p>
    <w:p>
      <w:pPr>
        <w:pStyle w:val="TextBody"/>
        <w:bidi w:val="0"/>
        <w:spacing w:before="240" w:after="0"/>
        <w:jc w:val="left"/>
        <w:rPr>
          <w:rFonts w:ascii="Times New Roman" w:hAnsi="Times New Roman"/>
          <w:b/>
          <w:sz w:val="20"/>
        </w:rPr>
      </w:pPr>
      <w:r>
        <w:rPr>
          <w:rFonts w:ascii="Times New Roman" w:hAnsi="Times New Roman"/>
          <w:b/>
          <w:sz w:val="20"/>
        </w:rPr>
        <w:t xml:space="preserve">THE ABOVE SUMMARY IS NOT INTENDED TO CONSTITUTE A COMPLETE ANALYSIS OF ALL TAX CONSIDERATIONS APPLICABLE TO U.S. HOLDERS WITH RESPECT TO THE ACQUISITION, OWNERSHIP, AND DISPOSITION OF THE COMMON SHARES. U.S. HOLDERS SHOULD CONSULT THEIR OWN TAX ADVISORS AS TO THE TAX CONSIDERATIONS APPLICABLE TO THEM IN THEIR OWN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describe material U.S. federal income tax consequences of the ownership and disposition of any of our other Securities offered thereunder by an initial investor who is a U.S. Holder,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50" w:name="toc142683_20"/>
      <w:bookmarkEnd w:id="5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related to our Securities offered by this prospectus will be passed upon on our behalf by Blake, Cassels &amp; Graydon LLP, with respect to matters of Canadian law, and Troutman Pepper Locke LLP, with respect to matters of U.S. law. As of the date of this prospectus, the partners and associates of Blake, Cassels &amp; Graydon LLP beneficially own, directly or indirectly, less than 1% of our outstanding Common Shares. </w:t>
      </w:r>
    </w:p>
    <w:p>
      <w:pPr>
        <w:pStyle w:val="TextBody"/>
        <w:bidi w:val="0"/>
        <w:spacing w:before="480" w:after="0"/>
        <w:jc w:val="center"/>
        <w:rPr>
          <w:rFonts w:ascii="Times New Roman" w:hAnsi="Times New Roman"/>
          <w:b/>
          <w:sz w:val="20"/>
        </w:rPr>
      </w:pPr>
      <w:bookmarkStart w:id="51" w:name="toc142683_21"/>
      <w:bookmarkEnd w:id="51"/>
      <w:r>
        <w:rPr>
          <w:rFonts w:ascii="Times New Roman" w:hAnsi="Times New Roman"/>
          <w:b/>
          <w:sz w:val="20"/>
        </w:rPr>
        <w:t xml:space="preserve">INTEREST OF EXPERT </w:t>
      </w:r>
    </w:p>
    <w:p>
      <w:pPr>
        <w:pStyle w:val="TextBody"/>
        <w:bidi w:val="0"/>
        <w:spacing w:before="240" w:after="0"/>
        <w:jc w:val="left"/>
        <w:rPr>
          <w:rFonts w:ascii="Times New Roman" w:hAnsi="Times New Roman"/>
          <w:sz w:val="20"/>
        </w:rPr>
      </w:pPr>
      <w:r>
        <w:rPr>
          <w:rFonts w:ascii="Times New Roman" w:hAnsi="Times New Roman"/>
          <w:sz w:val="20"/>
        </w:rPr>
        <w:t xml:space="preserve">There is no person or company whose profession or business gives authority to a report, valuation, statement or opinion made by such person or company and who is named as having prepared or certified a report, valuation, statement or opinion in this prospectus other than KPMG LLP. </w:t>
      </w:r>
    </w:p>
    <w:p>
      <w:pPr>
        <w:pStyle w:val="TextBody"/>
        <w:bidi w:val="0"/>
        <w:spacing w:before="480" w:after="0"/>
        <w:jc w:val="center"/>
        <w:rPr>
          <w:rFonts w:ascii="Times New Roman" w:hAnsi="Times New Roman"/>
          <w:b/>
          <w:sz w:val="20"/>
        </w:rPr>
      </w:pPr>
      <w:bookmarkStart w:id="52" w:name="toc142683_22"/>
      <w:bookmarkEnd w:id="52"/>
      <w:r>
        <w:rPr>
          <w:rFonts w:ascii="Times New Roman" w:hAnsi="Times New Roman"/>
          <w:b/>
          <w:sz w:val="20"/>
        </w:rPr>
        <w:t xml:space="preserve">AUDITORS, 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auditors of the Company are KPMG LLP. KPMG LLP has confirmed with respect to the Company that they are independent within the meaning of the relevant rules and related interpretations prescribed by the relevant professional bodies in Canada and any applicable legislation or regulations, and also that they are independent accountants with respect to the Company under all relevant U.S. professional and regulatory standards.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and transfer agent for the Common Shares is TSX Trust Company at its principal offices in Vancouver, British Columbia. </w:t>
      </w:r>
    </w:p>
    <w:p>
      <w:pPr>
        <w:pStyle w:val="TextBody"/>
        <w:bidi w:val="0"/>
        <w:spacing w:before="480" w:after="0"/>
        <w:jc w:val="center"/>
        <w:rPr>
          <w:rFonts w:ascii="Times New Roman" w:hAnsi="Times New Roman"/>
          <w:b/>
          <w:sz w:val="20"/>
        </w:rPr>
      </w:pPr>
      <w:bookmarkStart w:id="53" w:name="toc142683_23"/>
      <w:bookmarkEnd w:id="5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registration statement on Form F-10 relating to the offer and sale of the Securities, of which this prospectus forms a part. This prospectus does not contain all of the information set forth in the registration statement, certain parts of which are omitted in accordance with the rules and regulations of the SEC. Reference is made to the registration statement on Form F-10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with the securities commission or authority in each of the applicable provinces of Canada annual and quarterly reports, material change reports and other information. In addition, we are subject to the informational requirements of the U.S. Exchange Act, and, in accordance with the U.S. Exchange Act, we also file reports with, and furnish other information to, the SEC. Under a MJDS adopted by the United States and Canada, these reports and other information may be prepared in accordance with the disclosure requirements of Canada, which differ in certain respects from those in the United States. As a foreign private issuer, we are exempt from the rules under the U.S. Exchange Act prescribing the furnishing and content of proxy statements, and our officers, directors and principal shareholders are exempt from the short-swing profit recovery provisions, and our principal shareholders are exempt from the reporting provisions, contained in Section 16 of the U.S. Exchange Act. In addition, we are not required to publish financial statements as promptly as U.S.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You may read any document we file with or furnish to the securities commissions and authorities of the provinces and territories of Canada through SEDAR+ at www.sedarplus.ca and any document we file with, or furnish to, the SEC on EDGAR at www.sec.gov. Please note that the SEC’s website and the website containing Canadian securities regulatory filings are included in this prospectus as inactive textual references only. The information contained on such websites is not incorporated by reference in this prospectus and should not be considered part of this prospectus, except as explicitly described in the section titled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54" w:name="toc142683_23a"/>
      <w:bookmarkEnd w:id="54"/>
      <w:r>
        <w:rPr>
          <w:rFonts w:ascii="Times New Roman" w:hAnsi="Times New Roman"/>
          <w:b/>
          <w:sz w:val="20"/>
        </w:rPr>
        <w:t xml:space="preserve">AGENT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Certain directors of the Company reside outside of Canada. As a result of the persons named below residing outside of Canada, each of them has appointed the following agent for service of process: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8"/>
        <w:gridCol w:w="102"/>
        <w:gridCol w:w="5205"/>
      </w:tblGrid>
      <w:tr>
        <w:trPr/>
        <w:tc>
          <w:tcPr>
            <w:tcW w:w="48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jc w:val="left"/>
              <w:rPr>
                <w:sz w:val="4"/>
                <w:szCs w:val="4"/>
              </w:rPr>
            </w:pPr>
            <w:r>
              <w:rPr>
                <w:sz w:val="4"/>
                <w:szCs w:val="4"/>
              </w:rPr>
            </w:r>
          </w:p>
        </w:tc>
      </w:tr>
      <w:tr>
        <w:trPr/>
        <w:tc>
          <w:tcPr>
            <w:tcW w:w="48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Person or Company</w:t>
            </w:r>
          </w:p>
        </w:tc>
        <w:tc>
          <w:tcPr>
            <w:tcW w:w="102" w:type="dxa"/>
            <w:tcBorders/>
            <w:vAlign w:val="bottom"/>
          </w:tcPr>
          <w:p>
            <w:pPr>
              <w:pStyle w:val="TableContents"/>
              <w:bidi w:val="0"/>
              <w:spacing w:before="0" w:after="283"/>
              <w:jc w:val="left"/>
              <w:rPr/>
            </w:pPr>
            <w:r>
              <w:rPr/>
              <w:t> </w:t>
            </w:r>
          </w:p>
        </w:tc>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and Address of Agent</w:t>
            </w:r>
          </w:p>
        </w:tc>
      </w:tr>
      <w:tr>
        <w:trPr/>
        <w:tc>
          <w:tcPr>
            <w:tcW w:w="4898" w:type="dxa"/>
            <w:tcBorders/>
          </w:tcPr>
          <w:p>
            <w:pPr>
              <w:pStyle w:val="TableContents"/>
              <w:bidi w:val="0"/>
              <w:spacing w:before="0" w:after="20"/>
              <w:jc w:val="left"/>
              <w:rPr>
                <w:rFonts w:ascii="Times New Roman" w:hAnsi="Times New Roman"/>
                <w:sz w:val="20"/>
              </w:rPr>
            </w:pPr>
            <w:r>
              <w:rPr>
                <w:rFonts w:ascii="Times New Roman" w:hAnsi="Times New Roman"/>
                <w:sz w:val="20"/>
              </w:rPr>
              <w:t>Amy Pott</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Robert Bazemore</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Helen Thackray</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w:t>
      </w:r>
    </w:p>
    <w:p>
      <w:pPr>
        <w:pStyle w:val="TextBody"/>
        <w:bidi w:val="0"/>
        <w:spacing w:before="480" w:after="0"/>
        <w:jc w:val="center"/>
        <w:rPr>
          <w:rFonts w:ascii="Times New Roman" w:hAnsi="Times New Roman"/>
          <w:b/>
          <w:sz w:val="20"/>
        </w:rPr>
      </w:pPr>
      <w:bookmarkStart w:id="55" w:name="toc142683_24"/>
      <w:bookmarkEnd w:id="55"/>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company incorporated under the </w:t>
      </w:r>
      <w:r>
        <w:rPr>
          <w:rFonts w:ascii="Times New Roman" w:hAnsi="Times New Roman"/>
          <w:i/>
          <w:sz w:val="20"/>
        </w:rPr>
        <w:t>Business Corporations Act</w:t>
      </w:r>
      <w:r>
        <w:rPr>
          <w:rFonts w:ascii="Times New Roman" w:hAnsi="Times New Roman"/>
          <w:sz w:val="20"/>
        </w:rPr>
        <w:t xml:space="preserve"> (British Columbia). Most of our directors and officers are residents of Canada or otherwise reside outside the United States, and all or a substantial portion of their assets may be, and a substantial portion of the Company’s assets are, located outside the United States. We have appointed an agent for service of process in the United States, but it may be difficult for holders of securities who reside in the United States to effect service within the United States upon those directors, officers and experts who are not residents of the United States. It may also be difficult for holders of securities who reside in the United States to realize in the United States upon judgments of courts of the United States predicated upon our civil liability and the civil liability of our directors, officers and experts under the United States federal securities laws. We have been advised that a judgment of a U.S. court predicated solely upon civil liability under U.S. federal securities laws or the securities or “blue sky” laws of any state within the United States, would likely be enforceable in Canada if the United States court in which the judgment was obtained has a basis for jurisdiction in the matter that would be recognized by a Canadian court for the same purposes. We have also been advised, however, that there is substantial doubt whether an action could be brought in Canada in the first instance on the basis of the liability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filed with the SEC, concurrently with our registration statement on Form F-10 of which this prospectus is a part, an appointment of agent for service of process on Form F-X. Under the Form F-X, we appointed C T Corporation System, with an address at 28 Liberty Street, New York, New York 10005, as our agent for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process in the United States in connection with any investigation or administrative proceeding conducted by the SEC, and any civil suit or action brought against or involving us in a U.S. court arising out of or related to or concerning the offering of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81178/000119312526104765/d78249dex991.htm" TargetMode="External"/><Relationship Id="rId4" Type="http://schemas.openxmlformats.org/officeDocument/2006/relationships/hyperlink" Target="http://www.sec.gov/Archives/edgar/data/../../../ix?doc=/Archives/edgar/data/1581178/000119312526104765/d78249dex992.htm" TargetMode="External"/><Relationship Id="rId5" Type="http://schemas.openxmlformats.org/officeDocument/2006/relationships/hyperlink" Target="http://www.sec.gov/Archives/edgar/data/1581178/000119312526104765/d78249dex993.htm" TargetMode="External"/><Relationship Id="rId6" Type="http://schemas.openxmlformats.org/officeDocument/2006/relationships/hyperlink" Target="http://www.sec.gov/Archives/edgar/data/1581178/000119312526345045/d153391dex991.htm" TargetMode="External"/><Relationship Id="rId7" Type="http://schemas.openxmlformats.org/officeDocument/2006/relationships/hyperlink" Target="http://www.sec.gov/Archives/edgar/data/1581178/000119312526345045/d153391dex992.htm" TargetMode="External"/><Relationship Id="rId8" Type="http://schemas.openxmlformats.org/officeDocument/2006/relationships/hyperlink" Target="http://www.sec.gov/Archives/edgar/data/1581178/000117184326003787/exh_991.htm" TargetMode="External"/><Relationship Id="rId9" Type="http://schemas.openxmlformats.org/officeDocument/2006/relationships/hyperlink" Target="http://www.sec.gov/Archives/edgar/data/1581178/000119312526096039/d896156dex991.htm" TargetMode="External"/><Relationship Id="rId10" Type="http://schemas.openxmlformats.org/officeDocument/2006/relationships/hyperlink" Target="http://www.sec.gov/Archives/edgar/data/1581178/000117184326004676/exh_991.htm" TargetMode="External"/><Relationship Id="rId11" Type="http://schemas.openxmlformats.org/officeDocument/2006/relationships/image" Target="media/image2.jpeg"/><Relationship Id="rId12" Type="http://schemas.openxmlformats.org/officeDocument/2006/relationships/hyperlink" Target="http://www.sec.gov/Archives/edgar/data/1581178/000119312526104765/d78249dex991.htm" TargetMode="External"/><Relationship Id="rId13" Type="http://schemas.openxmlformats.org/officeDocument/2006/relationships/hyperlink" Target="http://www.sec.gov/Archives/edgar/data/../../../ix?doc=/Archives/edgar/data/1581178/000119312526104765/d78249dex992.htm" TargetMode="External"/><Relationship Id="rId14" Type="http://schemas.openxmlformats.org/officeDocument/2006/relationships/hyperlink" Target="http://www.sec.gov/Archives/edgar/data/1581178/000119312526104765/d78249dex993.htm" TargetMode="External"/><Relationship Id="rId15" Type="http://schemas.openxmlformats.org/officeDocument/2006/relationships/hyperlink" Target="http://www.sec.gov/Archives/edgar/data/1581178/000119312526345045/d153391dex991.htm" TargetMode="External"/><Relationship Id="rId16" Type="http://schemas.openxmlformats.org/officeDocument/2006/relationships/hyperlink" Target="http://www.sec.gov/Archives/edgar/data/1581178/000119312526345045/d153391dex992.htm" TargetMode="External"/><Relationship Id="rId17" Type="http://schemas.openxmlformats.org/officeDocument/2006/relationships/hyperlink" Target="http://www.sec.gov/Archives/edgar/data/1581178/000117184326003787/exh_991.htm" TargetMode="External"/><Relationship Id="rId18" Type="http://schemas.openxmlformats.org/officeDocument/2006/relationships/hyperlink" Target="http://www.sec.gov/Archives/edgar/data/1581178/000119312526096039/d896156dex991.htm" TargetMode="External"/><Relationship Id="rId19" Type="http://schemas.openxmlformats.org/officeDocument/2006/relationships/hyperlink" Target="http://www.sec.gov/Archives/edgar/data/1581178/000117184326004676/exh_99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158</Pages>
  <Words>92296</Words>
  <Characters>504630</Characters>
  <CharactersWithSpaces>599474</CharactersWithSpaces>
  <Paragraphs>7637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dc:title>
</cp:coreProperties>
</file>