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100926.htm"/>
      <w:bookmarkStart w:id="1" w:name="ksf6k_1009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For the month of October 2026</w:t>
      </w:r>
    </w:p>
    <w:p>
      <w:pPr>
        <w:pStyle w:val="TextBody"/>
        <w:bidi w:val="0"/>
        <w:jc w:val="center"/>
        <w:rPr/>
      </w:pPr>
      <w:r>
        <w:rPr/>
        <w:t xml:space="preserve">Commission File Number: </w:t>
      </w:r>
      <w:r>
        <w:rPr>
          <w:rStyle w:val="StrongEmphasis"/>
        </w:rPr>
        <w:t>001-41923</w:t>
      </w:r>
    </w:p>
    <w:p>
      <w:pPr>
        <w:pStyle w:val="TextBody"/>
        <w:bidi w:val="0"/>
        <w:jc w:val="center"/>
        <w:rPr/>
      </w:pPr>
      <w:r>
        <w:rPr>
          <w:rStyle w:val="StrongEmphasis"/>
          <w:sz w:val="24"/>
        </w:rPr>
        <w:t>EUPRAXIA PHARMACEUTICALS INC.</w:t>
      </w:r>
      <w:r>
        <w:rPr/>
        <w:br/>
        <w:t>(Exact name of Registrant as specified in its charter)</w:t>
      </w:r>
    </w:p>
    <w:p>
      <w:pPr>
        <w:pStyle w:val="TextBody"/>
        <w:bidi w:val="0"/>
        <w:jc w:val="center"/>
        <w:rPr/>
      </w:pPr>
      <w:r>
        <w:rPr>
          <w:rStyle w:val="StrongEmphasis"/>
        </w:rPr>
        <w:t>N/A</w:t>
        <w:br/>
      </w:r>
      <w:r>
        <w:rPr/>
        <w:t>(Translation of Registrant’s name)</w:t>
      </w:r>
    </w:p>
    <w:p>
      <w:pPr>
        <w:pStyle w:val="TextBody"/>
        <w:bidi w:val="0"/>
        <w:jc w:val="center"/>
        <w:rPr/>
      </w:pPr>
      <w:r>
        <w:rPr>
          <w:rStyle w:val="StrongEmphasis"/>
        </w:rPr>
        <w:t>2198 Yukon Street</w:t>
        <w:br/>
        <w:t>Vancouver, British Columbia, Canada V5Y 3P1</w:t>
        <w:br/>
        <w:t>Telephone: (250) 590-3968 </w:t>
      </w:r>
      <w:r>
        <w:rPr/>
        <w:br/>
        <w:t>(Address and telephone number of registrant’s principal executive office)</w:t>
      </w:r>
    </w:p>
    <w:p>
      <w:pPr>
        <w:pStyle w:val="TextBody"/>
        <w:bidi w:val="0"/>
        <w:spacing w:before="0" w:after="283"/>
        <w:jc w:val="left"/>
        <w:rPr/>
      </w:pPr>
      <w:r>
        <w:rPr/>
        <w:t>Indicate by check mark whether the registrant files or will file annual reports under cover of Form 20-F or Form 40-F.</w:t>
        <w:br/>
        <w:t>Form 20-F [   ]      Form 40-F [ X ]</w:t>
      </w:r>
    </w:p>
    <w:p>
      <w:pPr>
        <w:pStyle w:val="TextBody"/>
        <w:bidi w:val="0"/>
        <w:spacing w:before="0" w:after="283"/>
        <w:jc w:val="left"/>
        <w:rPr/>
      </w:pPr>
      <w:r>
        <w:rPr/>
        <w:t> </w:t>
      </w:r>
    </w:p>
    <w:p>
      <w:pPr>
        <w:pStyle w:val="TextBody"/>
        <w:bidi w:val="0"/>
        <w:spacing w:before="0" w:after="283"/>
        <w:jc w:val="left"/>
        <w:rPr/>
      </w:pPr>
      <w:r>
        <w:rPr/>
        <w:t> </w:t>
      </w:r>
    </w:p>
    <w:p>
      <w:pPr>
        <w:pStyle w:val="HorizontalLine"/>
        <w:pBdr>
          <w:bottom w:val="single" w:sz="12" w:space="0" w:color="808080"/>
        </w:pBdr>
        <w:bidi w:val="0"/>
        <w:jc w:val="left"/>
        <w:rPr/>
      </w:pPr>
      <w:r>
        <w:rPr/>
      </w:r>
    </w:p>
    <w:p>
      <w:pPr>
        <w:pStyle w:val="TextBody"/>
        <w:bidi w:val="0"/>
        <w:jc w:val="center"/>
        <w:rPr/>
      </w:pPr>
      <w:r>
        <w:rPr>
          <w:rStyle w:val="StrongEmphasis"/>
          <w:sz w:val="20"/>
        </w:rPr>
        <w:t>DOCUMENTS INCLUDED AS PART OF THIS REPORT</w:t>
      </w:r>
    </w:p>
    <w:tbl>
      <w:tblPr>
        <w:tblW w:w="3940" w:type="dxa"/>
        <w:jc w:val="left"/>
        <w:tblInd w:w="0" w:type="dxa"/>
        <w:tblLayout w:type="fixed"/>
        <w:tblCellMar>
          <w:top w:w="0" w:type="dxa"/>
          <w:left w:w="0" w:type="dxa"/>
          <w:bottom w:w="0" w:type="dxa"/>
          <w:right w:w="0" w:type="dxa"/>
        </w:tblCellMar>
      </w:tblPr>
      <w:tblGrid>
        <w:gridCol w:w="650"/>
        <w:gridCol w:w="300"/>
        <w:gridCol w:w="2990"/>
      </w:tblGrid>
      <w:tr>
        <w:trPr/>
        <w:tc>
          <w:tcPr>
            <w:tcW w:w="650" w:type="dxa"/>
            <w:tcBorders/>
            <w:vAlign w:val="bottom"/>
          </w:tcPr>
          <w:p>
            <w:pPr>
              <w:pStyle w:val="TableContents"/>
              <w:bidi w:val="0"/>
              <w:spacing w:before="0" w:after="283"/>
              <w:jc w:val="left"/>
              <w:rPr/>
            </w:pPr>
            <w:r>
              <w:rPr>
                <w:rStyle w:val="StrongEmphasis"/>
                <w:sz w:val="20"/>
              </w:rPr>
              <w:t>Exhibit</w:t>
            </w:r>
          </w:p>
        </w:tc>
        <w:tc>
          <w:tcPr>
            <w:tcW w:w="300" w:type="dxa"/>
            <w:tcBorders/>
            <w:vAlign w:val="center"/>
          </w:tcPr>
          <w:p>
            <w:pPr>
              <w:pStyle w:val="TableContents"/>
              <w:bidi w:val="0"/>
              <w:spacing w:before="0" w:after="283"/>
              <w:jc w:val="left"/>
              <w:rPr/>
            </w:pPr>
            <w:r>
              <w:rPr/>
              <w:t> </w:t>
            </w:r>
          </w:p>
        </w:tc>
        <w:tc>
          <w:tcPr>
            <w:tcW w:w="2990" w:type="dxa"/>
            <w:tcBorders/>
            <w:vAlign w:val="bottom"/>
          </w:tcPr>
          <w:p>
            <w:pPr>
              <w:pStyle w:val="TableContents"/>
              <w:bidi w:val="0"/>
              <w:spacing w:before="0" w:after="283"/>
              <w:jc w:val="left"/>
              <w:rPr/>
            </w:pPr>
            <w:r>
              <w:rPr>
                <w:rStyle w:val="StrongEmphasis"/>
              </w:rPr>
              <w:t> </w:t>
            </w:r>
          </w:p>
        </w:tc>
      </w:tr>
      <w:tr>
        <w:trPr/>
        <w:tc>
          <w:tcPr>
            <w:tcW w:w="65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hyperlink w:anchor="exh_991.htm">
              <w:r>
                <w:rPr>
                  <w:rStyle w:val="InternetLink"/>
                  <w:sz w:val="20"/>
                </w:rPr>
                <w:t>99.1</w:t>
              </w:r>
            </w:hyperlink>
          </w:p>
        </w:tc>
        <w:tc>
          <w:tcPr>
            <w:tcW w:w="30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283"/>
              <w:jc w:val="left"/>
              <w:rPr/>
            </w:pPr>
            <w:hyperlink w:anchor="exh_991.htm">
              <w:r>
                <w:rPr>
                  <w:rStyle w:val="InternetLink"/>
                  <w:sz w:val="20"/>
                </w:rPr>
                <w:t>Press Release dated October 9, 2026</w:t>
              </w:r>
            </w:hyperlink>
            <w:r>
              <w:rPr>
                <w:sz w:val="20"/>
              </w:rPr>
              <w:t xml:space="preserve"> </w:t>
            </w:r>
          </w:p>
        </w:tc>
      </w:tr>
    </w:tbl>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6"/>
        <w:gridCol w:w="612"/>
        <w:gridCol w:w="4797"/>
      </w:tblGrid>
      <w:tr>
        <w:trPr/>
        <w:tc>
          <w:tcPr>
            <w:tcW w:w="4796" w:type="dxa"/>
            <w:tcBorders/>
          </w:tcPr>
          <w:p>
            <w:pPr>
              <w:pStyle w:val="TableContents"/>
              <w:bidi w:val="0"/>
              <w:spacing w:before="0" w:after="283"/>
              <w:jc w:val="left"/>
              <w:rPr/>
            </w:pPr>
            <w:r>
              <w:rPr/>
              <w:t> </w:t>
            </w:r>
          </w:p>
        </w:tc>
        <w:tc>
          <w:tcPr>
            <w:tcW w:w="5409" w:type="dxa"/>
            <w:gridSpan w:val="2"/>
            <w:tcBorders/>
          </w:tcPr>
          <w:p>
            <w:pPr>
              <w:pStyle w:val="TableContents"/>
              <w:bidi w:val="0"/>
              <w:spacing w:before="0" w:after="283"/>
              <w:jc w:val="left"/>
              <w:rPr/>
            </w:pPr>
            <w:r>
              <w:rPr/>
              <w:t> </w:t>
            </w:r>
            <w:r>
              <w:rPr>
                <w:rStyle w:val="StrongEmphasis"/>
              </w:rPr>
              <w:t>EUPRAXIA PHARMACEUTICALS INC.</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pPr>
            <w:r>
              <w:rPr/>
              <w:t>Date: October 9, 2026</w:t>
            </w:r>
          </w:p>
        </w:tc>
        <w:tc>
          <w:tcPr>
            <w:tcW w:w="612" w:type="dxa"/>
            <w:tcBorders/>
          </w:tcPr>
          <w:p>
            <w:pPr>
              <w:pStyle w:val="TableContents"/>
              <w:bidi w:val="0"/>
              <w:spacing w:before="0" w:after="283"/>
              <w:jc w:val="left"/>
              <w:rPr/>
            </w:pPr>
            <w:r>
              <w:rPr/>
              <w:t> </w:t>
            </w:r>
            <w:r>
              <w:rPr/>
              <w:t>By: </w:t>
            </w:r>
          </w:p>
        </w:tc>
        <w:tc>
          <w:tcPr>
            <w:tcW w:w="4797" w:type="dxa"/>
            <w:tcBorders/>
          </w:tcPr>
          <w:p>
            <w:pPr>
              <w:pStyle w:val="TableContents"/>
              <w:bidi w:val="0"/>
              <w:spacing w:before="0" w:after="283"/>
              <w:jc w:val="left"/>
              <w:rPr>
                <w:u w:val="single"/>
              </w:rPr>
            </w:pPr>
            <w:r>
              <w:rPr>
                <w:u w:val="single"/>
              </w:rPr>
              <w:t>/s/ Alex Rothwell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Name: Alex Rothwell</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Title: Chief Financial Officer</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bl>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Eupraxia Pharmaceuticals to Present at Upcoming American College of Gastroenterology (ACG) and United European Gastroenterology (UEG) Medical Conferences</w:t>
      </w:r>
    </w:p>
    <w:p>
      <w:pPr>
        <w:pStyle w:val="TextBody"/>
        <w:bidi w:val="0"/>
        <w:jc w:val="both"/>
        <w:rPr/>
      </w:pPr>
      <w:r>
        <w:rPr/>
        <w:t>VANCOUVER, British Columbia, Oct. 09, 2026 (GLOBE NEWSWIRE) -- Eupraxia Pharmaceuticals Inc. ("Eupraxia" or the "Company") (NASDAQ:EPRX) (TSX:EPRX), a clinical-stage biotechnology company leveraging its proprietary Diffusphere technology designed to optimize local, controlled drug delivery for applications with significant unmet need, today is pleased to announce that three abstracts related to Company’s ongoing Phase 1b/2 RESOLVE trial of EP-104GI for the treatment of eosinophilic esophagitis ("EoE") have been accepted and will be presented at: (i) the American College of Gastroenterology (ACG) 2026 Annual Scientific Meeting &amp; Postgraduate Course, being held October 9-14, 2026 in Nashville, Tennessee, and (ii) the United European Gastroenterology (UEG) Week 2026, being held October 17-20, 2026 in Barcelona, Spain.</w:t>
      </w:r>
    </w:p>
    <w:p>
      <w:pPr>
        <w:pStyle w:val="TextBody"/>
        <w:bidi w:val="0"/>
        <w:jc w:val="both"/>
        <w:rPr/>
      </w:pPr>
      <w:r>
        <w:rPr>
          <w:rStyle w:val="StrongEmphasis"/>
        </w:rPr>
        <w:t>ACG 2026 Annual Scientific Meeting &amp; Postgraduate Course</w:t>
      </w:r>
      <w:r>
        <w:rPr/>
        <w:br/>
        <w:t>Nashville, Tennessee; October 9-14, 2026</w:t>
      </w:r>
    </w:p>
    <w:p>
      <w:pPr>
        <w:pStyle w:val="TextBody"/>
        <w:bidi w:val="0"/>
        <w:jc w:val="both"/>
        <w:rPr/>
      </w:pPr>
      <w:r>
        <w:rPr>
          <w:rStyle w:val="StrongEmphasis"/>
        </w:rPr>
        <w:t>Poster Presentation</w:t>
      </w:r>
      <w:r>
        <w:rPr/>
        <w:br/>
      </w:r>
      <w:r>
        <w:rPr>
          <w:rStyle w:val="StrongEmphasis"/>
        </w:rPr>
        <w:t xml:space="preserve">Date: </w:t>
      </w:r>
      <w:r>
        <w:rPr/>
        <w:t>Monday, October 12, 2026</w:t>
        <w:br/>
      </w:r>
      <w:r>
        <w:rPr>
          <w:rStyle w:val="StrongEmphasis"/>
        </w:rPr>
        <w:t xml:space="preserve">Time: </w:t>
      </w:r>
      <w:r>
        <w:rPr/>
        <w:t>1:00 PM – 2:15 PM CST</w:t>
        <w:br/>
      </w:r>
      <w:r>
        <w:rPr>
          <w:rStyle w:val="StrongEmphasis"/>
        </w:rPr>
        <w:t xml:space="preserve">Title: </w:t>
      </w:r>
      <w:r>
        <w:rPr/>
        <w:t>Improvements in dysphagia following single administration of EP-104GI persist over 52 weeks during dose escalation in the ongoing RESOLVE Phase 1b/2 trial in eosinophilic esophagitis</w:t>
        <w:br/>
      </w:r>
      <w:r>
        <w:rPr>
          <w:rStyle w:val="StrongEmphasis"/>
        </w:rPr>
        <w:t xml:space="preserve">Presenter: </w:t>
      </w:r>
      <w:r>
        <w:rPr/>
        <w:t>Evan Dellon, University of North Carolina</w:t>
      </w:r>
    </w:p>
    <w:p>
      <w:pPr>
        <w:pStyle w:val="TextBody"/>
        <w:bidi w:val="0"/>
        <w:jc w:val="both"/>
        <w:rPr/>
      </w:pPr>
      <w:r>
        <w:rPr>
          <w:rStyle w:val="StrongEmphasis"/>
        </w:rPr>
        <w:t>UEG Week 2026</w:t>
      </w:r>
      <w:r>
        <w:rPr/>
        <w:br/>
        <w:t>Barcelona, Spain; October 17-20, 2026</w:t>
      </w:r>
    </w:p>
    <w:p>
      <w:pPr>
        <w:pStyle w:val="TextBody"/>
        <w:bidi w:val="0"/>
        <w:jc w:val="both"/>
        <w:rPr/>
      </w:pPr>
      <w:r>
        <w:rPr>
          <w:rStyle w:val="StrongEmphasis"/>
        </w:rPr>
        <w:t>Moderated Poster</w:t>
      </w:r>
      <w:r>
        <w:rPr/>
        <w:br/>
      </w:r>
      <w:r>
        <w:rPr>
          <w:rStyle w:val="StrongEmphasis"/>
        </w:rPr>
        <w:t xml:space="preserve">Date: </w:t>
      </w:r>
      <w:r>
        <w:rPr/>
        <w:t>Sunday, October 18, 2026</w:t>
        <w:br/>
      </w:r>
      <w:r>
        <w:rPr>
          <w:rStyle w:val="StrongEmphasis"/>
        </w:rPr>
        <w:t xml:space="preserve">Time: </w:t>
      </w:r>
      <w:r>
        <w:rPr/>
        <w:t>3:18 PM – 3:24 PM CET</w:t>
      </w:r>
    </w:p>
    <w:p>
      <w:pPr>
        <w:pStyle w:val="TextBody"/>
        <w:bidi w:val="0"/>
        <w:jc w:val="both"/>
        <w:rPr/>
      </w:pPr>
      <w:r>
        <w:rPr>
          <w:rStyle w:val="StrongEmphasis"/>
        </w:rPr>
        <w:t xml:space="preserve">Title: </w:t>
      </w:r>
      <w:r>
        <w:rPr/>
        <w:t>Single administration of escalating doses of EP-104GI leads to improvements in frequency and severity of dysphagia up to 52 weeks in the RESOLVE Phase 1b/2 study in eosinophilic esophagitis</w:t>
        <w:br/>
      </w:r>
      <w:r>
        <w:rPr>
          <w:rStyle w:val="StrongEmphasis"/>
        </w:rPr>
        <w:t xml:space="preserve">Presenter: </w:t>
      </w:r>
      <w:r>
        <w:rPr/>
        <w:t>Arjan Bredenoord, UMC Amsterdam</w:t>
      </w:r>
    </w:p>
    <w:p>
      <w:pPr>
        <w:pStyle w:val="TextBody"/>
        <w:bidi w:val="0"/>
        <w:jc w:val="both"/>
        <w:rPr/>
      </w:pPr>
      <w:r>
        <w:rPr>
          <w:rStyle w:val="StrongEmphasis"/>
        </w:rPr>
        <w:t>Oral Abstract Session</w:t>
      </w:r>
      <w:r>
        <w:rPr/>
        <w:br/>
      </w:r>
      <w:r>
        <w:rPr>
          <w:rStyle w:val="StrongEmphasis"/>
        </w:rPr>
        <w:t xml:space="preserve">Date: </w:t>
      </w:r>
      <w:r>
        <w:rPr/>
        <w:t>Monday, October 19, 2026</w:t>
        <w:br/>
      </w:r>
      <w:r>
        <w:rPr>
          <w:rStyle w:val="StrongEmphasis"/>
        </w:rPr>
        <w:t xml:space="preserve">Time: </w:t>
      </w:r>
      <w:r>
        <w:rPr/>
        <w:t>2:30 PM – 3:30 PM CET</w:t>
        <w:br/>
      </w:r>
      <w:r>
        <w:rPr>
          <w:rStyle w:val="StrongEmphasis"/>
        </w:rPr>
        <w:t xml:space="preserve">Title: </w:t>
      </w:r>
      <w:r>
        <w:rPr/>
        <w:t>Improvements in histopathological features of eosinophilic esophagitis following a single administration of EP-104GI during dose escalation in the Phase 1b/2 RESOLVE study</w:t>
        <w:br/>
      </w:r>
      <w:r>
        <w:rPr>
          <w:rStyle w:val="StrongEmphasis"/>
        </w:rPr>
        <w:t xml:space="preserve">Presenter: </w:t>
      </w:r>
      <w:r>
        <w:rPr/>
        <w:t>Margaret H. Collins, Cincinnati Children's Hospital</w:t>
      </w:r>
    </w:p>
    <w:p>
      <w:pPr>
        <w:pStyle w:val="TextBody"/>
        <w:bidi w:val="0"/>
        <w:jc w:val="both"/>
        <w:rPr/>
      </w:pPr>
      <w:r>
        <w:rPr>
          <w:rStyle w:val="StrongEmphasis"/>
        </w:rPr>
        <w:t>About the RESOLVE Trial</w:t>
      </w:r>
      <w:r>
        <w:rPr/>
        <w:t> </w:t>
      </w:r>
    </w:p>
    <w:p>
      <w:pPr>
        <w:pStyle w:val="TextBody"/>
        <w:bidi w:val="0"/>
        <w:jc w:val="both"/>
        <w:rPr/>
      </w:pPr>
      <w:r>
        <w:rPr/>
        <w:t>The Phase 1b/2a portion of the RESOLVE trial is a multicenter, open-label, dose-escalation study evaluating the safety, tolerability, pharmacokinetics, and efficacy of EP-104GI in adults with a history of confirmed active EoE. The treatment is administered as a single dose via 4 to 20 esophageal wall injections, with dose escalations modifying either the dose per site and/or the number of sites. Patients were followed for up to 24 weeks in Cohorts 1-4 (4x1mg, 8x1mg, 8x2.5mg and 12x2.5mg) or 52 weeks in Cohorts 5-9 (12x4mg, 16x4mg, 20x4mg, 20x6mg and 20x8mg). Eupraxia plans to disclose additional data from the open-label Phase 1b/2a portion of the RESOLVE trial in the coming months.</w:t>
      </w:r>
    </w:p>
    <w:p>
      <w:pPr>
        <w:pStyle w:val="TextBody"/>
        <w:bidi w:val="0"/>
        <w:jc w:val="both"/>
        <w:rPr/>
      </w:pPr>
      <w:r>
        <w:rPr/>
        <w:t>The Phase 2b portion of the RESOLVE trial, a randomized placebo-controlled study of EP-104GI, is currently recruiting both the 120mg (20x6mg) and 160mg (20x8mg) doses. The interim data from the Phase 2b portion of the RESOLVE trial are expected in December 2026.</w:t>
      </w:r>
    </w:p>
    <w:p>
      <w:pPr>
        <w:pStyle w:val="TextBody"/>
        <w:bidi w:val="0"/>
        <w:jc w:val="both"/>
        <w:rPr/>
      </w:pPr>
      <w:r>
        <w:rPr>
          <w:rStyle w:val="StrongEmphasis"/>
        </w:rPr>
        <w:t>About Eosinophilic Esophagitis (EoE)</w:t>
      </w:r>
      <w:r>
        <w:rPr/>
        <w:t xml:space="preserve">  </w:t>
        <w:br/>
        <w:t>EoE is an inflammatory-mediated disease in which white blood cells migrate into and become trapped in the esophagus, creating pain and difficulty with swallowing food. According to market research from Clearview Healthcare Partners, EoE affects more than 450,000 people in the United States and has been identified by the American Gastroenterological Association as rapidly increasing in both incidence and prevalence. Impacts from both symptoms and interventions frequently lead to mental health issues, compounding the disease burden of EoE for both the healthcare system and the individual. </w:t>
      </w:r>
    </w:p>
    <w:p>
      <w:pPr>
        <w:pStyle w:val="TextBody"/>
        <w:bidi w:val="0"/>
        <w:jc w:val="both"/>
        <w:rPr/>
      </w:pPr>
      <w:r>
        <w:rPr>
          <w:rStyle w:val="StrongEmphasis"/>
        </w:rPr>
        <w:t>About Eupraxia Pharmaceuticals Inc.</w:t>
      </w:r>
    </w:p>
    <w:p>
      <w:pPr>
        <w:pStyle w:val="TextBody"/>
        <w:bidi w:val="0"/>
        <w:jc w:val="both"/>
        <w:rPr/>
      </w:pPr>
      <w:r>
        <w:rPr/>
        <w:t>Eupraxia is a clinical-stage biotechnology company focused on the development of locally delivered, extended-release products that have the potential to address therapeutic areas with high unmet medical need. Diffusphere, a proprietary, polymer-based micro-sphere technology, is designed to facilitate targeted drug delivery of both existing and novel drugs. The technology is designed to support extended duration of effect and delivery of drugs in a hyper-localized fashion, targeting only the tissues that physicians are wanting to treat. We believe the potential for fewer adverse events may be achieved through the precision targeting and the stable and flat delivery of the active ingredient when using the Diffusphere technology, versus the peaks and troughs seen with more traditional drug delivery methods. The precision of Eupraxia's Diffusphere technology platform has the potential to augment and transform existing FDA-approved drugs to improve their safety, tolerability, efficacy and duration of effect. The potential uses in therapeutic areas may go beyond pain and inflammatory gastrointestinal disease, where Eupraxia currently is developing advanced treatments, to also be applicable in oncology, infectious disease and other critical disease areas.</w:t>
      </w:r>
    </w:p>
    <w:p>
      <w:pPr>
        <w:pStyle w:val="TextBody"/>
        <w:bidi w:val="0"/>
        <w:jc w:val="both"/>
        <w:rPr/>
      </w:pPr>
      <w:r>
        <w:rPr/>
        <w:t>Eupraxia's EP-104GI is currently in a Phase 1b/2 trial, the RESOLVE trial, for the treatment of EoE. EP-104GI is administered as an injection into the esophageal wall, providing local delivery of drug. This is a unique treatment approach for EoE. In addition, Eupraxia is developing a pipeline of later and earlier-stage long-acting formulations. For further details about Eupraxia, please visit the Company's website at: www.eupraxiapharma.com.</w:t>
      </w:r>
    </w:p>
    <w:p>
      <w:pPr>
        <w:pStyle w:val="TextBody"/>
        <w:bidi w:val="0"/>
        <w:jc w:val="both"/>
        <w:rPr/>
      </w:pPr>
      <w:r>
        <w:rPr>
          <w:rStyle w:val="StrongEmphasis"/>
        </w:rPr>
        <w:t>Notice Regarding Forward-looking Statements and Information</w:t>
      </w:r>
    </w:p>
    <w:p>
      <w:pPr>
        <w:pStyle w:val="TextBody"/>
        <w:bidi w:val="0"/>
        <w:jc w:val="both"/>
        <w:rPr/>
      </w:pPr>
      <w:r>
        <w:rPr/>
        <w:t>This news release includes forward-looking statements and forward-looking information within the meaning of applicable securities laws. Often, but not always, forward-looking information can be identified by the use of words such as "plans", "is expected", "expects", "suggests", “indicates”, "scheduled", "intends", "contemplates", "anticipates", "believes", "proposes", "potential" or variations (including negative and grammatical variations) of such words and phrases, or statements that certain actions, events or results "may", "could", "would", "might" or "will" be taken, occur or be achieved. Forward-looking statements in this news release include statements regarding the interpretation of data from the RESOLVE trial, including symptom response, tissue health and the durability of treatment effects; the Company’s expected timing of reporting additional data from the RESOLVE trial, including the Phase 2b portion thereof; the Company's product candidates, including their expected benefits with respect to safety, tolerability, efficacy and duration of effect and their potential use in therapeutic areas beyond pain and inflammatory gastrointestinal disease; the expectations regarding the advancement of the Company’s product candidates through clinical development; the results of clinical trials of the Company's product candidates; the potential for the Company’s technology to impact the drug delivery process; the potential market opportunity for the Company’s product candidates; and potential pipeline indications. Such statements and information are based on the current expectations of Eupraxia's management, and are based on assumptions, including but not limited to: future research and development plans for the Company proceeding substantially as currently envisioned; industry growth trends, including with respect to projected and actual industry sales; the Company's ability to obtain positive results from the Company's research and development activities, including clinical trials; and the Company's ability to protect patents and proprietary rights. Although Eupraxia's management believes that the assumptions underlying these statements and information are reasonable, they may prove to be incorrect. The forward-looking events and circumstances discussed in this news release may not occur by certain dates or at all and could differ materially as a result of known and unknown risk factors and uncertainties affecting Eupraxia, including, but not limited to: risks and uncertainties related to the Company's limited operating history; the Company's novel technology with uncertain market acceptance; if the Company breaches any of the agreements under which it licenses rights to its product candidates or technology from third parties, the possibility that the Company could lose license rights that are important to its business; the possibility that the Company's current license agreement may not provide an adequate remedy for its breach by the licensor; the possibility that the Company's technology may not be successful for its intended use; the fact that the Company's future technology will require regulatory approval, which is costly and the Company may not be able to obtain it; the possibility that the Company may fail to obtain regulatory approvals or only obtain approvals for limited uses or indications; the possibility that the Company's clinical trials may fail to demonstrate adequately the safety and efficacy of its product candidates at any stage of clinical development; the possibility that the Company may be required to suspend or discontinue clinical trials due to side effects or other safety risks; the fact that the Company completely relies on third parties to provide supplies and inputs required for its product candidates and services; the potential impact of tariffs on the cost of the Company’s active pharmaceutical ingredients and clinical supplies of EP-104GI; the fact that the Company relies on external contract research organizations to provide clinical and non-clinical research services; the possibility that the Company may not be able to successfully execute its business strategy; the fact that the Company will require additional financing, which may not be available; the fact that any therapeutics the Company develops will be subject to extensive, lengthy and uncertain regulatory requirements, which could adversely affect the Company's ability to obtain regulatory approval in a timely manner, or at all; the impact of health pandemics or epidemics on the Company's operations; the Company's restatement of its consolidated financial statements, which may lead to additional risks and uncertainties, including loss of investor confidence and negative impacts on the Company's common share price; and other risks and uncertainties described in more detail in Eupraxia's public filings on SEDAR+ (sedarplus.ca) and EDGAR (sec.gov). Although Eupraxia has attempted to identify important factors that could cause actual actions, events or results to differ materially from those described in forward-looking statements and information, there may be other factors that cause actions, events or results to differ from those anticipated, estimated or intended. No forward-looking statement or information can be guaranteed. Except as required by applicable securities laws, forward-looking statements and information speak only as of the date on which they are made and Eupraxia undertakes no obligation to publicly update or revise any forward-looking statement or information, whether as a result of new information, future events or otherwise.</w:t>
      </w:r>
    </w:p>
    <w:p>
      <w:pPr>
        <w:pStyle w:val="TextBody"/>
        <w:bidi w:val="0"/>
        <w:spacing w:before="0" w:after="283"/>
        <w:jc w:val="left"/>
        <w:rPr/>
      </w:pPr>
      <w:r>
        <w:rPr>
          <w:rStyle w:val="StrongEmphasis"/>
        </w:rPr>
        <w:t>For investor and media inquiries, please contact:</w:t>
      </w:r>
    </w:p>
    <w:p>
      <w:pPr>
        <w:pStyle w:val="TextBody"/>
        <w:bidi w:val="0"/>
        <w:spacing w:before="0" w:after="283"/>
        <w:jc w:val="left"/>
        <w:rPr/>
      </w:pPr>
      <w:r>
        <w:rPr>
          <w:rStyle w:val="StrongEmphasis"/>
        </w:rPr>
        <w:t>Company and Investor Contact</w:t>
      </w:r>
      <w:r>
        <w:rPr/>
        <w:br/>
        <w:t xml:space="preserve">James Meikle, Eupraxia Pharmaceuticals Inc. </w:t>
        <w:br/>
        <w:t xml:space="preserve">236-330-7084 </w:t>
        <w:br/>
        <w:t>jmeikle@eupraxiapharma.com</w:t>
      </w:r>
    </w:p>
    <w:p>
      <w:pPr>
        <w:pStyle w:val="TextBody"/>
        <w:bidi w:val="0"/>
        <w:spacing w:before="0" w:after="283"/>
        <w:jc w:val="left"/>
        <w:rPr/>
      </w:pPr>
      <w:r>
        <w:rPr/>
        <w:t>or</w:t>
      </w:r>
    </w:p>
    <w:p>
      <w:pPr>
        <w:pStyle w:val="TextBody"/>
        <w:bidi w:val="0"/>
        <w:spacing w:before="0" w:after="283"/>
        <w:jc w:val="left"/>
        <w:rPr/>
      </w:pPr>
      <w:r>
        <w:rPr/>
        <w:t xml:space="preserve">Kevin Gardner, on behalf of: </w:t>
        <w:br/>
        <w:t xml:space="preserve">Eupraxia Pharmaceuticals Inc. </w:t>
        <w:br/>
        <w:t xml:space="preserve">617-283-2856 </w:t>
        <w:br/>
        <w:t>kgardner@lifesciadvisors.com</w:t>
      </w:r>
    </w:p>
    <w:p>
      <w:pPr>
        <w:pStyle w:val="TextBody"/>
        <w:bidi w:val="0"/>
        <w:spacing w:before="0" w:after="283"/>
        <w:jc w:val="left"/>
        <w:rPr/>
      </w:pPr>
      <w:r>
        <w:rPr>
          <w:rStyle w:val="StrongEmphasis"/>
        </w:rPr>
        <w:t>Media Contact</w:t>
      </w:r>
      <w:r>
        <w:rPr/>
        <w:br/>
        <w:t>Jason Braco, PhD</w:t>
        <w:br/>
        <w:t>Valence Communications</w:t>
        <w:br/>
        <w:t>jason@valencecomms.com</w:t>
      </w:r>
    </w:p>
    <w:p>
      <w:pPr>
        <w:pStyle w:val="TextBody"/>
        <w:bidi w:val="0"/>
        <w:spacing w:before="0" w:after="283"/>
        <w:jc w:val="left"/>
        <w:rPr/>
      </w:pPr>
      <w:r>
        <w:rPr/>
        <w:t>SOURCE Eupraxia Pharmaceuticals Inc.</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1811</Words>
  <Characters>10840</Characters>
  <CharactersWithSpaces>12666</CharactersWithSpaces>
  <Paragraphs>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